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eastAsia" w:ascii="黑体" w:hAnsi="黑体" w:eastAsia="黑体" w:cs="黑体"/>
          <w:b w:val="0"/>
          <w:color w:val="000000" w:themeColor="text1"/>
          <w:kern w:val="2"/>
          <w:sz w:val="28"/>
          <w:szCs w:val="28"/>
          <w:highlight w:val="none"/>
          <w:lang w:val="en-US" w:eastAsia="zh-CN" w:bidi="ar-SA"/>
        </w:rPr>
      </w:pPr>
      <w:bookmarkStart w:id="25" w:name="_GoBack"/>
      <w:bookmarkEnd w:id="25"/>
      <w:r>
        <w:rPr>
          <w:rFonts w:hint="eastAsia" w:ascii="黑体" w:hAnsi="黑体" w:eastAsia="黑体" w:cs="黑体"/>
          <w:b w:val="0"/>
          <w:color w:val="000000" w:themeColor="text1"/>
          <w:kern w:val="2"/>
          <w:sz w:val="28"/>
          <w:szCs w:val="28"/>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firstLine="800" w:firstLineChars="20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马鞍市中医院信息系统三级等级保护评测项目采购内容及相关要求</w:t>
      </w:r>
    </w:p>
    <w:p>
      <w:pPr>
        <w:pStyle w:val="10"/>
        <w:keepNext w:val="0"/>
        <w:keepLines w:val="0"/>
        <w:pageBreakBefore w:val="0"/>
        <w:widowControl w:val="0"/>
        <w:kinsoku/>
        <w:wordWrap/>
        <w:overflowPunct/>
        <w:topLinePunct w:val="0"/>
        <w:autoSpaceDE/>
        <w:autoSpaceDN/>
        <w:bidi w:val="0"/>
        <w:adjustRightInd/>
        <w:spacing w:after="0" w:line="520" w:lineRule="exact"/>
        <w:ind w:left="0" w:leftChars="0" w:firstLine="64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0"/>
        <w:rPr>
          <w:rFonts w:hint="eastAsia" w:ascii="Times New Roman" w:hAnsi="Times New Roman" w:eastAsia="黑体" w:cs="Times New Roman"/>
          <w:color w:val="000000" w:themeColor="text1"/>
          <w:sz w:val="24"/>
          <w:szCs w:val="24"/>
          <w:highlight w:val="none"/>
          <w:lang w:val="en-US" w:eastAsia="zh-CN"/>
        </w:rPr>
      </w:pPr>
      <w:r>
        <w:rPr>
          <w:rFonts w:hint="eastAsia" w:ascii="Times New Roman" w:hAnsi="Times New Roman" w:eastAsia="黑体" w:cs="Times New Roman"/>
          <w:color w:val="000000" w:themeColor="text1"/>
          <w:sz w:val="24"/>
          <w:szCs w:val="24"/>
          <w:highlight w:val="none"/>
          <w:lang w:val="en-US" w:eastAsia="zh-CN"/>
        </w:rPr>
        <w:t>一、采购预算</w:t>
      </w:r>
    </w:p>
    <w:p>
      <w:pPr>
        <w:spacing w:line="38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项目预算（人民币）：14万元；</w:t>
      </w:r>
    </w:p>
    <w:p>
      <w:pPr>
        <w:spacing w:line="38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最高限价（人民币）：14万元。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outlineLvl w:val="0"/>
        <w:rPr>
          <w:rFonts w:hint="eastAsia" w:ascii="Times New Roman" w:hAnsi="Times New Roman" w:eastAsia="黑体" w:cs="Times New Roman"/>
          <w:color w:val="000000" w:themeColor="text1"/>
          <w:sz w:val="24"/>
          <w:szCs w:val="24"/>
          <w:highlight w:val="none"/>
          <w:lang w:val="en-US" w:eastAsia="zh-CN"/>
        </w:rPr>
      </w:pPr>
      <w:r>
        <w:rPr>
          <w:rFonts w:hint="eastAsia" w:ascii="Times New Roman" w:hAnsi="Times New Roman" w:eastAsia="黑体" w:cs="Times New Roman"/>
          <w:color w:val="000000" w:themeColor="text1"/>
          <w:kern w:val="2"/>
          <w:sz w:val="24"/>
          <w:szCs w:val="24"/>
          <w:lang w:val="en-US" w:eastAsia="zh-CN" w:bidi="ar-SA"/>
        </w:rPr>
        <w:t>二、</w:t>
      </w:r>
      <w:r>
        <w:rPr>
          <w:rFonts w:hint="eastAsia" w:ascii="Times New Roman" w:hAnsi="Times New Roman" w:eastAsia="黑体" w:cs="Times New Roman"/>
          <w:color w:val="000000" w:themeColor="text1"/>
          <w:sz w:val="24"/>
          <w:szCs w:val="24"/>
          <w:highlight w:val="none"/>
          <w:lang w:val="en-US" w:eastAsia="zh-CN"/>
        </w:rPr>
        <w:t>采购内容及相关要求</w:t>
      </w:r>
    </w:p>
    <w:p>
      <w:pPr>
        <w:widowControl/>
        <w:spacing w:line="500" w:lineRule="exact"/>
        <w:jc w:val="center"/>
        <w:rPr>
          <w:rFonts w:hint="eastAsia" w:ascii="宋体" w:hAnsi="宋体"/>
          <w:b/>
          <w:sz w:val="28"/>
          <w:szCs w:val="28"/>
        </w:rPr>
      </w:pPr>
      <w:bookmarkStart w:id="0" w:name="_Toc29860_WPSOffice_Level2"/>
      <w:bookmarkStart w:id="1" w:name="_Toc28691_WPSOffice_Level2"/>
      <w:r>
        <w:rPr>
          <w:rFonts w:hint="eastAsia" w:ascii="宋体" w:hAnsi="宋体"/>
          <w:b/>
          <w:sz w:val="28"/>
          <w:szCs w:val="28"/>
          <w:lang w:eastAsia="zh-CN"/>
        </w:rPr>
        <w:t>（</w:t>
      </w:r>
      <w:r>
        <w:rPr>
          <w:rFonts w:hint="eastAsia" w:ascii="宋体" w:hAnsi="宋体"/>
          <w:b/>
          <w:sz w:val="28"/>
          <w:szCs w:val="28"/>
        </w:rPr>
        <w:t>一</w:t>
      </w:r>
      <w:r>
        <w:rPr>
          <w:rFonts w:hint="eastAsia" w:ascii="宋体" w:hAnsi="宋体"/>
          <w:b/>
          <w:sz w:val="28"/>
          <w:szCs w:val="28"/>
          <w:lang w:eastAsia="zh-CN"/>
        </w:rPr>
        <w:t>）</w:t>
      </w:r>
      <w:bookmarkEnd w:id="0"/>
      <w:bookmarkEnd w:id="1"/>
      <w:r>
        <w:rPr>
          <w:rFonts w:hint="eastAsia" w:ascii="宋体" w:hAnsi="宋体"/>
          <w:b/>
          <w:sz w:val="28"/>
          <w:szCs w:val="28"/>
        </w:rPr>
        <w:t>采购清单</w:t>
      </w:r>
    </w:p>
    <w:tbl>
      <w:tblPr>
        <w:tblStyle w:val="18"/>
        <w:tblpPr w:leftFromText="180" w:rightFromText="180" w:vertAnchor="text" w:horzAnchor="page" w:tblpX="1080" w:tblpY="397"/>
        <w:tblOverlap w:val="never"/>
        <w:tblW w:w="8332"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175"/>
        <w:gridCol w:w="798"/>
        <w:gridCol w:w="1331"/>
        <w:gridCol w:w="845"/>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695" w:type="dxa"/>
            <w:vAlign w:val="center"/>
          </w:tcPr>
          <w:p>
            <w:pPr>
              <w:spacing w:line="460" w:lineRule="exact"/>
              <w:jc w:val="center"/>
              <w:rPr>
                <w:rFonts w:hint="default" w:ascii="黑体" w:hAnsi="黑体" w:eastAsia="黑体" w:cs="黑体"/>
                <w:b/>
                <w:bCs/>
                <w:sz w:val="24"/>
                <w:lang w:val="en-US" w:eastAsia="zh-CN"/>
              </w:rPr>
            </w:pPr>
            <w:r>
              <w:rPr>
                <w:rFonts w:hint="eastAsia" w:ascii="黑体" w:hAnsi="黑体" w:eastAsia="黑体" w:cs="黑体"/>
                <w:b/>
                <w:bCs/>
                <w:sz w:val="24"/>
                <w:lang w:val="en-US" w:eastAsia="zh-CN"/>
              </w:rPr>
              <w:t>项目名称</w:t>
            </w:r>
          </w:p>
        </w:tc>
        <w:tc>
          <w:tcPr>
            <w:tcW w:w="2175" w:type="dxa"/>
            <w:vAlign w:val="center"/>
          </w:tcPr>
          <w:p>
            <w:pPr>
              <w:spacing w:line="460" w:lineRule="exact"/>
              <w:jc w:val="center"/>
              <w:rPr>
                <w:rFonts w:hint="eastAsia" w:ascii="黑体" w:hAnsi="黑体" w:eastAsia="黑体" w:cs="黑体"/>
                <w:b/>
                <w:bCs/>
                <w:sz w:val="24"/>
                <w:lang w:val="en-US" w:eastAsia="zh-CN"/>
              </w:rPr>
            </w:pPr>
            <w:r>
              <w:rPr>
                <w:rFonts w:hint="eastAsia" w:ascii="黑体" w:hAnsi="黑体" w:eastAsia="黑体" w:cs="黑体"/>
                <w:b/>
                <w:bCs/>
                <w:sz w:val="24"/>
              </w:rPr>
              <w:t>项目</w:t>
            </w:r>
            <w:r>
              <w:rPr>
                <w:rFonts w:hint="eastAsia" w:ascii="黑体" w:hAnsi="黑体" w:eastAsia="黑体" w:cs="黑体"/>
                <w:b/>
                <w:bCs/>
                <w:sz w:val="24"/>
                <w:lang w:val="en-US" w:eastAsia="zh-CN"/>
              </w:rPr>
              <w:t>内容</w:t>
            </w:r>
          </w:p>
        </w:tc>
        <w:tc>
          <w:tcPr>
            <w:tcW w:w="798" w:type="dxa"/>
            <w:vAlign w:val="center"/>
          </w:tcPr>
          <w:p>
            <w:pPr>
              <w:spacing w:line="460" w:lineRule="exact"/>
              <w:jc w:val="center"/>
              <w:rPr>
                <w:rFonts w:hint="eastAsia" w:ascii="黑体" w:hAnsi="黑体" w:eastAsia="黑体" w:cs="黑体"/>
                <w:b/>
                <w:bCs/>
                <w:sz w:val="24"/>
              </w:rPr>
            </w:pPr>
            <w:r>
              <w:rPr>
                <w:rFonts w:hint="eastAsia" w:ascii="黑体" w:hAnsi="黑体" w:eastAsia="黑体" w:cs="黑体"/>
                <w:b/>
                <w:bCs/>
                <w:sz w:val="24"/>
              </w:rPr>
              <w:t>单位</w:t>
            </w:r>
          </w:p>
        </w:tc>
        <w:tc>
          <w:tcPr>
            <w:tcW w:w="1331" w:type="dxa"/>
            <w:vAlign w:val="center"/>
          </w:tcPr>
          <w:p>
            <w:pPr>
              <w:spacing w:line="460" w:lineRule="exact"/>
              <w:jc w:val="center"/>
              <w:rPr>
                <w:rFonts w:hint="eastAsia" w:ascii="黑体" w:hAnsi="黑体" w:eastAsia="黑体" w:cs="黑体"/>
                <w:b/>
                <w:bCs/>
                <w:sz w:val="24"/>
              </w:rPr>
            </w:pPr>
            <w:r>
              <w:rPr>
                <w:rFonts w:hint="eastAsia" w:ascii="黑体" w:hAnsi="黑体" w:eastAsia="黑体" w:cs="黑体"/>
                <w:b/>
                <w:bCs/>
                <w:sz w:val="24"/>
              </w:rPr>
              <w:t>预算单价（万元）</w:t>
            </w:r>
          </w:p>
        </w:tc>
        <w:tc>
          <w:tcPr>
            <w:tcW w:w="845" w:type="dxa"/>
            <w:vAlign w:val="center"/>
          </w:tcPr>
          <w:p>
            <w:pPr>
              <w:spacing w:line="460" w:lineRule="exact"/>
              <w:jc w:val="center"/>
              <w:rPr>
                <w:rFonts w:hint="eastAsia" w:ascii="黑体" w:hAnsi="黑体" w:eastAsia="黑体" w:cs="黑体"/>
                <w:b/>
                <w:bCs/>
                <w:sz w:val="24"/>
              </w:rPr>
            </w:pPr>
            <w:r>
              <w:rPr>
                <w:rFonts w:hint="eastAsia" w:ascii="黑体" w:hAnsi="黑体" w:eastAsia="黑体" w:cs="黑体"/>
                <w:b/>
                <w:bCs/>
                <w:sz w:val="24"/>
              </w:rPr>
              <w:t>预算数量</w:t>
            </w:r>
          </w:p>
        </w:tc>
        <w:tc>
          <w:tcPr>
            <w:tcW w:w="1488" w:type="dxa"/>
            <w:vAlign w:val="center"/>
          </w:tcPr>
          <w:p>
            <w:pPr>
              <w:spacing w:line="460" w:lineRule="exact"/>
              <w:jc w:val="center"/>
              <w:rPr>
                <w:rFonts w:hint="eastAsia" w:ascii="黑体" w:hAnsi="黑体" w:eastAsia="黑体" w:cs="黑体"/>
                <w:b/>
                <w:bCs/>
                <w:sz w:val="24"/>
              </w:rPr>
            </w:pPr>
            <w:r>
              <w:rPr>
                <w:rFonts w:hint="eastAsia" w:ascii="黑体" w:hAnsi="黑体" w:eastAsia="黑体" w:cs="黑体"/>
                <w:b/>
                <w:bCs/>
                <w:sz w:val="24"/>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695" w:type="dxa"/>
            <w:vMerge w:val="restart"/>
            <w:vAlign w:val="center"/>
          </w:tcPr>
          <w:p>
            <w:pPr>
              <w:widowControl/>
              <w:jc w:val="center"/>
              <w:textAlignment w:val="center"/>
              <w:rPr>
                <w:rFonts w:hint="default" w:ascii="黑体" w:hAnsi="黑体" w:eastAsia="黑体" w:cs="黑体"/>
                <w:sz w:val="24"/>
                <w:lang w:val="en-US" w:eastAsia="zh-CN"/>
              </w:rPr>
            </w:pPr>
            <w:r>
              <w:rPr>
                <w:rFonts w:hint="eastAsia" w:ascii="黑体" w:hAnsi="黑体" w:eastAsia="黑体" w:cs="黑体"/>
                <w:sz w:val="24"/>
                <w:lang w:val="en-US" w:eastAsia="zh-CN"/>
              </w:rPr>
              <w:t>马鞍山市中医院信息系统三级等级保护评测项目</w:t>
            </w:r>
          </w:p>
        </w:tc>
        <w:tc>
          <w:tcPr>
            <w:tcW w:w="2175" w:type="dxa"/>
            <w:vAlign w:val="center"/>
          </w:tcPr>
          <w:p>
            <w:pPr>
              <w:widowControl/>
              <w:jc w:val="center"/>
              <w:textAlignment w:val="center"/>
              <w:rPr>
                <w:rFonts w:hint="default" w:ascii="黑体" w:hAnsi="黑体" w:eastAsia="黑体" w:cs="黑体"/>
                <w:sz w:val="24"/>
                <w:lang w:val="en-US" w:eastAsia="zh-CN"/>
              </w:rPr>
            </w:pPr>
            <w:r>
              <w:rPr>
                <w:rFonts w:hint="eastAsia" w:ascii="黑体" w:hAnsi="黑体" w:eastAsia="黑体" w:cs="黑体"/>
                <w:sz w:val="24"/>
                <w:lang w:val="en-US" w:eastAsia="zh-CN"/>
              </w:rPr>
              <w:t>医院综合医疗管理系统等级评测</w:t>
            </w:r>
          </w:p>
        </w:tc>
        <w:tc>
          <w:tcPr>
            <w:tcW w:w="798" w:type="dxa"/>
            <w:vAlign w:val="center"/>
          </w:tcPr>
          <w:p>
            <w:pPr>
              <w:widowControl/>
              <w:jc w:val="center"/>
              <w:textAlignment w:val="center"/>
              <w:rPr>
                <w:rFonts w:hint="eastAsia" w:ascii="黑体" w:hAnsi="黑体" w:eastAsia="黑体" w:cs="黑体"/>
                <w:sz w:val="24"/>
              </w:rPr>
            </w:pPr>
            <w:r>
              <w:rPr>
                <w:rFonts w:hint="eastAsia" w:ascii="宋体" w:hAnsi="宋体" w:cs="宋体"/>
                <w:sz w:val="24"/>
              </w:rPr>
              <w:t>次</w:t>
            </w:r>
          </w:p>
        </w:tc>
        <w:tc>
          <w:tcPr>
            <w:tcW w:w="1331" w:type="dxa"/>
            <w:vAlign w:val="center"/>
          </w:tcPr>
          <w:p>
            <w:pPr>
              <w:widowControl/>
              <w:jc w:val="center"/>
              <w:textAlignment w:val="center"/>
              <w:rPr>
                <w:rFonts w:ascii="黑体" w:hAnsi="黑体" w:eastAsia="黑体" w:cs="黑体"/>
                <w:sz w:val="24"/>
              </w:rPr>
            </w:pPr>
            <w:r>
              <w:rPr>
                <w:rFonts w:hint="eastAsia"/>
                <w:sz w:val="24"/>
                <w:szCs w:val="24"/>
                <w:lang w:val="en-US" w:eastAsia="zh-CN"/>
              </w:rPr>
              <w:t>7万元</w:t>
            </w:r>
          </w:p>
        </w:tc>
        <w:tc>
          <w:tcPr>
            <w:tcW w:w="845" w:type="dxa"/>
            <w:vAlign w:val="center"/>
          </w:tcPr>
          <w:p>
            <w:pPr>
              <w:spacing w:line="460" w:lineRule="exact"/>
              <w:jc w:val="center"/>
              <w:rPr>
                <w:rFonts w:hint="default" w:ascii="黑体" w:hAnsi="黑体" w:eastAsia="黑体" w:cs="黑体"/>
                <w:sz w:val="24"/>
                <w:lang w:val="en-US" w:eastAsia="zh-CN"/>
              </w:rPr>
            </w:pPr>
            <w:r>
              <w:rPr>
                <w:rFonts w:hint="eastAsia" w:ascii="黑体" w:hAnsi="黑体" w:eastAsia="黑体" w:cs="黑体"/>
                <w:sz w:val="24"/>
                <w:lang w:val="en-US" w:eastAsia="zh-CN"/>
              </w:rPr>
              <w:t>1</w:t>
            </w:r>
          </w:p>
        </w:tc>
        <w:tc>
          <w:tcPr>
            <w:tcW w:w="1488" w:type="dxa"/>
            <w:vAlign w:val="center"/>
          </w:tcPr>
          <w:p>
            <w:pPr>
              <w:widowControl/>
              <w:jc w:val="center"/>
              <w:textAlignment w:val="center"/>
              <w:rPr>
                <w:rFonts w:hint="default" w:ascii="黑体" w:hAnsi="黑体" w:eastAsia="黑体" w:cs="黑体"/>
                <w:sz w:val="24"/>
                <w:lang w:val="en-US"/>
              </w:rPr>
            </w:pPr>
            <w:r>
              <w:rPr>
                <w:rFonts w:hint="eastAsia"/>
                <w:sz w:val="24"/>
                <w:szCs w:val="24"/>
                <w:lang w:val="en-US" w:eastAsia="zh-CN"/>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95" w:type="dxa"/>
            <w:vMerge w:val="continue"/>
            <w:vAlign w:val="center"/>
          </w:tcPr>
          <w:p>
            <w:pPr>
              <w:widowControl/>
              <w:jc w:val="center"/>
              <w:textAlignment w:val="center"/>
              <w:rPr>
                <w:rFonts w:hint="eastAsia" w:ascii="黑体" w:hAnsi="黑体" w:eastAsia="黑体" w:cs="黑体"/>
                <w:sz w:val="24"/>
                <w:lang w:val="en-US" w:eastAsia="zh-CN"/>
              </w:rPr>
            </w:pPr>
          </w:p>
        </w:tc>
        <w:tc>
          <w:tcPr>
            <w:tcW w:w="2175" w:type="dxa"/>
            <w:vAlign w:val="center"/>
          </w:tcPr>
          <w:p>
            <w:pPr>
              <w:widowControl/>
              <w:jc w:val="center"/>
              <w:textAlignment w:val="center"/>
              <w:rPr>
                <w:rFonts w:hint="default" w:ascii="黑体" w:hAnsi="黑体" w:eastAsia="黑体" w:cs="黑体"/>
                <w:sz w:val="24"/>
                <w:lang w:val="en-US" w:eastAsia="zh-CN"/>
              </w:rPr>
            </w:pPr>
            <w:r>
              <w:rPr>
                <w:rFonts w:hint="eastAsia" w:ascii="黑体" w:hAnsi="黑体" w:eastAsia="黑体" w:cs="黑体"/>
                <w:sz w:val="24"/>
                <w:lang w:val="en-US" w:eastAsia="zh-CN"/>
              </w:rPr>
              <w:t>互联网医院综合医疗运营管理平台</w:t>
            </w:r>
          </w:p>
        </w:tc>
        <w:tc>
          <w:tcPr>
            <w:tcW w:w="798" w:type="dxa"/>
            <w:vAlign w:val="center"/>
          </w:tcPr>
          <w:p>
            <w:pPr>
              <w:widowControl/>
              <w:jc w:val="center"/>
              <w:textAlignment w:val="center"/>
              <w:rPr>
                <w:rFonts w:hint="eastAsia" w:ascii="宋体" w:hAnsi="宋体" w:cs="宋体"/>
                <w:sz w:val="24"/>
              </w:rPr>
            </w:pPr>
            <w:r>
              <w:rPr>
                <w:rFonts w:hint="eastAsia" w:ascii="宋体" w:hAnsi="宋体" w:cs="宋体"/>
                <w:sz w:val="24"/>
              </w:rPr>
              <w:t>次</w:t>
            </w:r>
          </w:p>
        </w:tc>
        <w:tc>
          <w:tcPr>
            <w:tcW w:w="1331" w:type="dxa"/>
            <w:vAlign w:val="center"/>
          </w:tcPr>
          <w:p>
            <w:pPr>
              <w:widowControl/>
              <w:jc w:val="center"/>
              <w:textAlignment w:val="center"/>
              <w:rPr>
                <w:rFonts w:hint="default"/>
                <w:sz w:val="24"/>
                <w:szCs w:val="24"/>
                <w:lang w:val="en-US" w:eastAsia="zh-CN"/>
              </w:rPr>
            </w:pPr>
            <w:r>
              <w:rPr>
                <w:rFonts w:hint="eastAsia"/>
                <w:sz w:val="24"/>
                <w:szCs w:val="24"/>
                <w:lang w:val="en-US" w:eastAsia="zh-CN"/>
              </w:rPr>
              <w:t>7万元</w:t>
            </w:r>
          </w:p>
        </w:tc>
        <w:tc>
          <w:tcPr>
            <w:tcW w:w="845" w:type="dxa"/>
            <w:vAlign w:val="center"/>
          </w:tcPr>
          <w:p>
            <w:pPr>
              <w:spacing w:line="460" w:lineRule="exact"/>
              <w:jc w:val="center"/>
              <w:rPr>
                <w:rFonts w:hint="default" w:ascii="黑体" w:hAnsi="黑体" w:eastAsia="黑体" w:cs="黑体"/>
                <w:sz w:val="24"/>
                <w:lang w:val="en-US" w:eastAsia="zh-CN"/>
              </w:rPr>
            </w:pPr>
            <w:r>
              <w:rPr>
                <w:rFonts w:hint="eastAsia" w:ascii="黑体" w:hAnsi="黑体" w:eastAsia="黑体" w:cs="黑体"/>
                <w:sz w:val="24"/>
                <w:lang w:val="en-US" w:eastAsia="zh-CN"/>
              </w:rPr>
              <w:t>1</w:t>
            </w:r>
          </w:p>
        </w:tc>
        <w:tc>
          <w:tcPr>
            <w:tcW w:w="1488" w:type="dxa"/>
            <w:vAlign w:val="center"/>
          </w:tcPr>
          <w:p>
            <w:pPr>
              <w:widowControl/>
              <w:jc w:val="center"/>
              <w:textAlignment w:val="center"/>
              <w:rPr>
                <w:rFonts w:hint="default"/>
                <w:sz w:val="24"/>
                <w:szCs w:val="24"/>
                <w:lang w:val="en-US" w:eastAsia="zh-CN"/>
              </w:rPr>
            </w:pPr>
            <w:r>
              <w:rPr>
                <w:rFonts w:hint="eastAsia"/>
                <w:sz w:val="24"/>
                <w:szCs w:val="24"/>
                <w:lang w:val="en-US" w:eastAsia="zh-CN"/>
              </w:rPr>
              <w:t>7万元</w:t>
            </w:r>
          </w:p>
        </w:tc>
      </w:tr>
    </w:tbl>
    <w:p>
      <w:pPr>
        <w:pStyle w:val="17"/>
      </w:pPr>
    </w:p>
    <w:p>
      <w:pPr>
        <w:widowControl/>
        <w:spacing w:line="500" w:lineRule="exact"/>
        <w:jc w:val="center"/>
        <w:rPr>
          <w:rFonts w:ascii="宋体" w:hAnsi="宋体"/>
          <w:b/>
          <w:sz w:val="28"/>
          <w:szCs w:val="28"/>
        </w:rPr>
      </w:pPr>
      <w:r>
        <w:rPr>
          <w:rFonts w:hint="eastAsia" w:ascii="宋体" w:hAnsi="宋体"/>
          <w:b/>
          <w:sz w:val="28"/>
          <w:szCs w:val="28"/>
          <w:lang w:eastAsia="zh-CN"/>
        </w:rPr>
        <w:t>（</w:t>
      </w:r>
      <w:r>
        <w:rPr>
          <w:rFonts w:hint="eastAsia" w:ascii="宋体" w:hAnsi="宋体"/>
          <w:b/>
          <w:sz w:val="28"/>
          <w:szCs w:val="28"/>
          <w:lang w:val="en-US" w:eastAsia="zh-CN"/>
        </w:rPr>
        <w:t>二</w:t>
      </w:r>
      <w:r>
        <w:rPr>
          <w:rFonts w:hint="eastAsia" w:ascii="宋体" w:hAnsi="宋体"/>
          <w:b/>
          <w:sz w:val="28"/>
          <w:szCs w:val="28"/>
          <w:lang w:eastAsia="zh-CN"/>
        </w:rPr>
        <w:t>）</w:t>
      </w:r>
      <w:r>
        <w:rPr>
          <w:rFonts w:hint="eastAsia" w:ascii="宋体" w:hAnsi="宋体"/>
          <w:b/>
          <w:sz w:val="28"/>
          <w:szCs w:val="28"/>
        </w:rPr>
        <w:t>技术要求</w:t>
      </w:r>
    </w:p>
    <w:p>
      <w:pPr>
        <w:spacing w:line="380" w:lineRule="exact"/>
        <w:ind w:firstLine="480" w:firstLineChars="200"/>
        <w:rPr>
          <w:rFonts w:ascii="宋体" w:hAnsi="宋体"/>
          <w:b/>
          <w:bCs/>
          <w:sz w:val="24"/>
          <w:szCs w:val="24"/>
        </w:rPr>
      </w:pPr>
      <w:bookmarkStart w:id="2" w:name="_Toc25526"/>
      <w:r>
        <w:rPr>
          <w:rFonts w:hint="eastAsia" w:ascii="宋体" w:hAnsi="宋体"/>
          <w:b/>
          <w:bCs/>
          <w:sz w:val="24"/>
          <w:szCs w:val="24"/>
        </w:rPr>
        <w:t>1.项目简介</w:t>
      </w:r>
      <w:bookmarkEnd w:id="2"/>
    </w:p>
    <w:p>
      <w:pPr>
        <w:spacing w:line="380" w:lineRule="exact"/>
        <w:ind w:firstLine="480" w:firstLineChars="200"/>
        <w:rPr>
          <w:rFonts w:ascii="宋体" w:hAnsi="宋体"/>
          <w:b/>
          <w:bCs/>
          <w:sz w:val="24"/>
          <w:szCs w:val="24"/>
        </w:rPr>
      </w:pPr>
      <w:bookmarkStart w:id="3" w:name="_Toc31702"/>
      <w:r>
        <w:rPr>
          <w:rFonts w:hint="eastAsia" w:ascii="宋体" w:hAnsi="宋体"/>
          <w:b/>
          <w:bCs/>
          <w:sz w:val="24"/>
          <w:szCs w:val="24"/>
        </w:rPr>
        <w:t>1.1项目背景</w:t>
      </w:r>
      <w:bookmarkEnd w:id="3"/>
    </w:p>
    <w:p>
      <w:pPr>
        <w:spacing w:line="380" w:lineRule="exact"/>
        <w:ind w:firstLine="480" w:firstLineChars="200"/>
        <w:rPr>
          <w:rFonts w:ascii="宋体" w:hAnsi="宋体"/>
          <w:sz w:val="24"/>
          <w:szCs w:val="24"/>
        </w:rPr>
      </w:pPr>
      <w:r>
        <w:rPr>
          <w:rFonts w:hint="eastAsia" w:ascii="宋体" w:hAnsi="宋体"/>
          <w:sz w:val="24"/>
          <w:szCs w:val="24"/>
        </w:rPr>
        <w:t>网络安全等级保护是我国关于信息安全的基本政策，《国家信息化领导小组关于加强信息安全保障工作的意见》(中办发(2003) 27号）明确要求我国信息安全保障工作实行等级保护制度。2007年6月发布的关于印发《信息安全等级保护管理办法》的通知(公通字(2007)43号）进一步强调了开展网络安全等级保护工作的重要意义，规定了实施网络安全等级保护制度的原则、内容、职责分工、基本要求和实施计划，确立了实施网络安全等级保护工作的操作办法。</w:t>
      </w:r>
    </w:p>
    <w:p>
      <w:pPr>
        <w:spacing w:line="380" w:lineRule="exact"/>
        <w:ind w:firstLine="480" w:firstLineChars="200"/>
        <w:rPr>
          <w:rFonts w:ascii="宋体" w:hAnsi="宋体"/>
          <w:sz w:val="24"/>
          <w:szCs w:val="24"/>
        </w:rPr>
      </w:pPr>
      <w:r>
        <w:rPr>
          <w:rFonts w:hint="eastAsia" w:ascii="宋体" w:hAnsi="宋体"/>
          <w:sz w:val="24"/>
          <w:szCs w:val="24"/>
        </w:rPr>
        <w:t>2017年6月国家颁布实施《中华人民共和国网络安全法》，进一步明确，国家实行网络安全等级保护制度，正式将网络安全等级保护制度写进国家法律，从法治层面推动网络安全等级保护制度的落实。</w:t>
      </w:r>
    </w:p>
    <w:p>
      <w:pPr>
        <w:spacing w:line="380" w:lineRule="exact"/>
        <w:ind w:firstLine="480" w:firstLineChars="200"/>
        <w:rPr>
          <w:rFonts w:ascii="宋体" w:hAnsi="宋体"/>
          <w:b/>
          <w:bCs/>
          <w:sz w:val="24"/>
          <w:szCs w:val="24"/>
        </w:rPr>
      </w:pPr>
      <w:bookmarkStart w:id="4" w:name="_Toc30416"/>
      <w:r>
        <w:rPr>
          <w:rFonts w:hint="eastAsia" w:ascii="宋体" w:hAnsi="宋体"/>
          <w:b/>
          <w:bCs/>
          <w:sz w:val="24"/>
          <w:szCs w:val="24"/>
        </w:rPr>
        <w:t>1.2项目概述</w:t>
      </w:r>
      <w:bookmarkEnd w:id="4"/>
    </w:p>
    <w:p>
      <w:pPr>
        <w:spacing w:line="380" w:lineRule="exact"/>
        <w:ind w:firstLine="480" w:firstLineChars="200"/>
        <w:rPr>
          <w:rFonts w:ascii="宋体" w:hAnsi="宋体"/>
          <w:sz w:val="24"/>
          <w:szCs w:val="24"/>
        </w:rPr>
      </w:pPr>
      <w:r>
        <w:rPr>
          <w:rFonts w:hint="eastAsia" w:ascii="宋体" w:hAnsi="宋体"/>
          <w:sz w:val="24"/>
          <w:szCs w:val="24"/>
        </w:rPr>
        <w:t>为深入贯彻落实习近平总书记关于网络安全工作的重要指示精神和《网络安全法》规定，根据网信办、公安部、上级主管部门关于网络安全的指示要求，我单位将委托第三方有测评资质的测评机构，对</w:t>
      </w:r>
      <w:r>
        <w:rPr>
          <w:rFonts w:hint="default" w:ascii="宋体" w:hAnsi="宋体" w:cs="宋体"/>
          <w:sz w:val="24"/>
          <w:szCs w:val="24"/>
          <w:highlight w:val="yellow"/>
          <w:lang w:val="en-US" w:eastAsia="zh-CN"/>
        </w:rPr>
        <w:t>马鞍山市中医院</w:t>
      </w:r>
      <w:r>
        <w:rPr>
          <w:rFonts w:hint="eastAsia" w:ascii="宋体" w:hAnsi="宋体" w:cs="宋体"/>
          <w:sz w:val="24"/>
          <w:szCs w:val="24"/>
          <w:highlight w:val="yellow"/>
          <w:lang w:eastAsia="zh-CN"/>
        </w:rPr>
        <w:t>的信息系统</w:t>
      </w:r>
      <w:r>
        <w:rPr>
          <w:rFonts w:hint="eastAsia" w:ascii="宋体" w:hAnsi="宋体"/>
          <w:sz w:val="24"/>
          <w:szCs w:val="24"/>
        </w:rPr>
        <w:t>按照等级保护基本要求开展网络安全等级保护测评，出具相应的测评报告。</w:t>
      </w:r>
    </w:p>
    <w:p>
      <w:pPr>
        <w:spacing w:line="380" w:lineRule="exact"/>
        <w:ind w:firstLine="480" w:firstLineChars="200"/>
        <w:rPr>
          <w:rFonts w:ascii="宋体" w:hAnsi="宋体"/>
          <w:b/>
          <w:bCs/>
          <w:sz w:val="24"/>
          <w:szCs w:val="24"/>
        </w:rPr>
      </w:pPr>
      <w:bookmarkStart w:id="5" w:name="_Toc25919"/>
      <w:r>
        <w:rPr>
          <w:rFonts w:hint="eastAsia" w:ascii="宋体" w:hAnsi="宋体"/>
          <w:b/>
          <w:bCs/>
          <w:sz w:val="24"/>
          <w:szCs w:val="24"/>
        </w:rPr>
        <w:t>1.3.项目目标</w:t>
      </w:r>
      <w:bookmarkEnd w:id="5"/>
    </w:p>
    <w:p>
      <w:pPr>
        <w:spacing w:line="380" w:lineRule="exact"/>
        <w:ind w:firstLine="480" w:firstLineChars="200"/>
        <w:rPr>
          <w:rFonts w:ascii="宋体" w:hAnsi="宋体"/>
          <w:sz w:val="24"/>
          <w:szCs w:val="24"/>
        </w:rPr>
      </w:pPr>
      <w:r>
        <w:rPr>
          <w:rFonts w:hint="eastAsia" w:ascii="宋体" w:hAnsi="宋体"/>
          <w:sz w:val="24"/>
          <w:szCs w:val="24"/>
        </w:rPr>
        <w:t>通过</w:t>
      </w:r>
      <w:r>
        <w:rPr>
          <w:rFonts w:hint="eastAsia" w:ascii="宋体" w:hAnsi="宋体"/>
          <w:sz w:val="24"/>
          <w:szCs w:val="24"/>
          <w:lang w:eastAsia="zh-CN"/>
        </w:rPr>
        <w:t>信息系统三级等级保护</w:t>
      </w:r>
      <w:r>
        <w:rPr>
          <w:rFonts w:hint="eastAsia" w:ascii="宋体" w:hAnsi="宋体"/>
          <w:sz w:val="24"/>
          <w:szCs w:val="24"/>
        </w:rPr>
        <w:t>测评，全面了解和掌握</w:t>
      </w:r>
      <w:r>
        <w:rPr>
          <w:rFonts w:hint="default" w:ascii="宋体" w:hAnsi="宋体" w:cs="宋体"/>
          <w:sz w:val="24"/>
          <w:szCs w:val="24"/>
          <w:highlight w:val="yellow"/>
          <w:lang w:val="en-US" w:eastAsia="zh-CN"/>
        </w:rPr>
        <w:t>马鞍山市中医院</w:t>
      </w:r>
      <w:r>
        <w:rPr>
          <w:rFonts w:hint="eastAsia" w:ascii="宋体" w:hAnsi="宋体" w:cs="宋体"/>
          <w:sz w:val="24"/>
          <w:szCs w:val="24"/>
          <w:highlight w:val="yellow"/>
          <w:lang w:eastAsia="zh-CN"/>
        </w:rPr>
        <w:t>的</w:t>
      </w:r>
      <w:r>
        <w:rPr>
          <w:rFonts w:hint="eastAsia" w:ascii="宋体" w:hAnsi="宋体"/>
          <w:sz w:val="24"/>
          <w:szCs w:val="24"/>
          <w:highlight w:val="yellow"/>
          <w:lang w:eastAsia="zh-CN"/>
        </w:rPr>
        <w:t>信息系统</w:t>
      </w:r>
      <w:r>
        <w:rPr>
          <w:rFonts w:hint="eastAsia" w:ascii="宋体" w:hAnsi="宋体"/>
          <w:sz w:val="24"/>
          <w:szCs w:val="24"/>
          <w:lang w:eastAsia="zh-CN"/>
        </w:rPr>
        <w:t>的</w:t>
      </w:r>
      <w:r>
        <w:rPr>
          <w:rFonts w:hint="eastAsia" w:ascii="宋体" w:hAnsi="宋体"/>
          <w:sz w:val="24"/>
          <w:szCs w:val="24"/>
        </w:rPr>
        <w:t>安全保护状况，找出其与《网络安全等级保护基本要求》对应级别的差距。同时从风险管理角度，运用科学的方法和手段，系统地分析被测系统所面临的威胁及其存在的脆弱性，评估安全事件一旦发生可能造成的危害程度，提出有针对性的抵御威胁的防护策略和整改措施，为防范和化解网络安全风险、最大限度地防止由于网络安全事件引发公共安全事故以及全面提升单位网络安全防护水平提供科学依据。</w:t>
      </w:r>
    </w:p>
    <w:p>
      <w:pPr>
        <w:spacing w:line="380" w:lineRule="exact"/>
        <w:ind w:firstLine="480" w:firstLineChars="200"/>
        <w:rPr>
          <w:rFonts w:ascii="宋体" w:hAnsi="宋体"/>
          <w:b/>
          <w:bCs/>
          <w:sz w:val="24"/>
          <w:szCs w:val="24"/>
        </w:rPr>
      </w:pPr>
      <w:bookmarkStart w:id="6" w:name="_Toc16266"/>
      <w:r>
        <w:rPr>
          <w:rFonts w:hint="eastAsia" w:ascii="宋体" w:hAnsi="宋体"/>
          <w:b/>
          <w:bCs/>
          <w:sz w:val="24"/>
          <w:szCs w:val="24"/>
        </w:rPr>
        <w:t>2.项目实施</w:t>
      </w:r>
      <w:bookmarkEnd w:id="6"/>
    </w:p>
    <w:p>
      <w:pPr>
        <w:spacing w:line="380" w:lineRule="exact"/>
        <w:ind w:firstLine="480" w:firstLineChars="200"/>
        <w:rPr>
          <w:rFonts w:ascii="宋体" w:hAnsi="宋体"/>
          <w:b/>
          <w:bCs/>
          <w:sz w:val="24"/>
          <w:szCs w:val="24"/>
        </w:rPr>
      </w:pPr>
      <w:bookmarkStart w:id="7" w:name="_Toc13520"/>
      <w:r>
        <w:rPr>
          <w:rFonts w:hint="eastAsia" w:ascii="宋体" w:hAnsi="宋体"/>
          <w:b/>
          <w:bCs/>
          <w:sz w:val="24"/>
          <w:szCs w:val="24"/>
        </w:rPr>
        <w:t>2.1实施依据</w:t>
      </w:r>
      <w:bookmarkEnd w:id="7"/>
    </w:p>
    <w:p>
      <w:pPr>
        <w:spacing w:line="380" w:lineRule="exact"/>
        <w:ind w:firstLine="480" w:firstLineChars="200"/>
        <w:rPr>
          <w:rFonts w:ascii="宋体" w:hAnsi="宋体"/>
          <w:sz w:val="24"/>
          <w:szCs w:val="24"/>
        </w:rPr>
      </w:pPr>
      <w:r>
        <w:rPr>
          <w:rFonts w:hint="eastAsia" w:ascii="宋体" w:hAnsi="宋体"/>
          <w:sz w:val="24"/>
          <w:szCs w:val="24"/>
        </w:rPr>
        <w:t>本次项目实施，主要遵循以下国家标准：</w:t>
      </w:r>
    </w:p>
    <w:p>
      <w:pPr>
        <w:spacing w:line="380" w:lineRule="exact"/>
        <w:ind w:firstLine="480" w:firstLineChars="200"/>
        <w:rPr>
          <w:rFonts w:ascii="宋体" w:hAnsi="宋体"/>
          <w:sz w:val="24"/>
          <w:szCs w:val="24"/>
        </w:rPr>
      </w:pPr>
      <w:r>
        <w:rPr>
          <w:rFonts w:hint="eastAsia" w:ascii="宋体" w:hAnsi="宋体"/>
          <w:sz w:val="24"/>
          <w:szCs w:val="24"/>
        </w:rPr>
        <w:t>《信息安全技术 网络安全等级保护基本要求》GB/T 22239-2019</w:t>
      </w:r>
    </w:p>
    <w:p>
      <w:pPr>
        <w:spacing w:line="380" w:lineRule="exact"/>
        <w:ind w:firstLine="480" w:firstLineChars="200"/>
        <w:rPr>
          <w:rFonts w:ascii="宋体" w:hAnsi="宋体"/>
          <w:sz w:val="24"/>
          <w:szCs w:val="24"/>
        </w:rPr>
      </w:pPr>
      <w:r>
        <w:rPr>
          <w:rFonts w:hint="eastAsia" w:ascii="宋体" w:hAnsi="宋体"/>
          <w:sz w:val="24"/>
          <w:szCs w:val="24"/>
        </w:rPr>
        <w:t>《信息安全技术 网络安全等级保护测评要求》GB/T 28448-2019</w:t>
      </w:r>
    </w:p>
    <w:p>
      <w:pPr>
        <w:spacing w:line="380" w:lineRule="exact"/>
        <w:ind w:firstLine="480" w:firstLineChars="200"/>
        <w:rPr>
          <w:rFonts w:ascii="宋体" w:hAnsi="宋体"/>
          <w:sz w:val="24"/>
          <w:szCs w:val="24"/>
        </w:rPr>
      </w:pPr>
      <w:r>
        <w:rPr>
          <w:rFonts w:hint="eastAsia" w:ascii="宋体" w:hAnsi="宋体"/>
          <w:sz w:val="24"/>
          <w:szCs w:val="24"/>
        </w:rPr>
        <w:t>《信息安全技术 网络安全等级保护测评过程指南》GB/T 28449-2018</w:t>
      </w:r>
    </w:p>
    <w:p>
      <w:pPr>
        <w:spacing w:line="380" w:lineRule="exact"/>
        <w:ind w:firstLine="480" w:firstLineChars="200"/>
        <w:rPr>
          <w:rFonts w:ascii="宋体" w:hAnsi="宋体"/>
          <w:b/>
          <w:bCs/>
          <w:sz w:val="24"/>
          <w:szCs w:val="24"/>
        </w:rPr>
      </w:pPr>
      <w:bookmarkStart w:id="8" w:name="_Toc10683"/>
      <w:r>
        <w:rPr>
          <w:rFonts w:hint="eastAsia" w:ascii="宋体" w:hAnsi="宋体"/>
          <w:b/>
          <w:bCs/>
          <w:sz w:val="24"/>
          <w:szCs w:val="24"/>
        </w:rPr>
        <w:t>2.2实施原则</w:t>
      </w:r>
      <w:bookmarkEnd w:id="8"/>
    </w:p>
    <w:p>
      <w:pPr>
        <w:spacing w:line="380" w:lineRule="exact"/>
        <w:ind w:firstLine="480" w:firstLineChars="200"/>
        <w:rPr>
          <w:rFonts w:ascii="宋体" w:hAnsi="宋体"/>
          <w:sz w:val="24"/>
          <w:szCs w:val="24"/>
        </w:rPr>
      </w:pPr>
      <w:r>
        <w:rPr>
          <w:rFonts w:hint="eastAsia" w:ascii="宋体" w:hAnsi="宋体"/>
          <w:sz w:val="24"/>
          <w:szCs w:val="24"/>
        </w:rPr>
        <w:t>（1）保密原则：对测评的过程数据和结果数据严格保密，未经授权不得泄露给任何单位和个人，不得利用此数据进行任何侵害招标人的行为，否则招标人有权追究中标人的责任。</w:t>
      </w:r>
    </w:p>
    <w:p>
      <w:pPr>
        <w:spacing w:line="380" w:lineRule="exact"/>
        <w:ind w:firstLine="480" w:firstLineChars="200"/>
        <w:rPr>
          <w:rFonts w:ascii="宋体" w:hAnsi="宋体"/>
          <w:sz w:val="24"/>
          <w:szCs w:val="24"/>
        </w:rPr>
      </w:pPr>
      <w:r>
        <w:rPr>
          <w:rFonts w:hint="eastAsia" w:ascii="宋体" w:hAnsi="宋体"/>
          <w:sz w:val="24"/>
          <w:szCs w:val="24"/>
        </w:rPr>
        <w:t>（2）标准性原则：测评方案的设计与实施应依据国家等级保护的相关标准进行。</w:t>
      </w:r>
    </w:p>
    <w:p>
      <w:pPr>
        <w:spacing w:line="380" w:lineRule="exact"/>
        <w:ind w:firstLine="480" w:firstLineChars="200"/>
        <w:rPr>
          <w:rFonts w:ascii="宋体" w:hAnsi="宋体"/>
          <w:sz w:val="24"/>
          <w:szCs w:val="24"/>
        </w:rPr>
      </w:pPr>
      <w:r>
        <w:rPr>
          <w:rFonts w:hint="eastAsia" w:ascii="宋体" w:hAnsi="宋体"/>
          <w:sz w:val="24"/>
          <w:szCs w:val="24"/>
        </w:rPr>
        <w:t>（3）规范性原则：中标人的工作中的过程和文档，具有很好的规范性，可以便于项目的跟踪和控制。</w:t>
      </w:r>
    </w:p>
    <w:p>
      <w:pPr>
        <w:spacing w:line="380" w:lineRule="exact"/>
        <w:ind w:firstLine="480" w:firstLineChars="200"/>
        <w:rPr>
          <w:rFonts w:ascii="宋体" w:hAnsi="宋体"/>
          <w:sz w:val="24"/>
          <w:szCs w:val="24"/>
        </w:rPr>
      </w:pPr>
      <w:r>
        <w:rPr>
          <w:rFonts w:hint="eastAsia" w:ascii="宋体" w:hAnsi="宋体"/>
          <w:sz w:val="24"/>
          <w:szCs w:val="24"/>
        </w:rPr>
        <w:t>（4）可控性原则：测评服务的进度要跟上进度表的安排，保证招标人对于测评工作的可控性。</w:t>
      </w:r>
    </w:p>
    <w:p>
      <w:pPr>
        <w:spacing w:line="380" w:lineRule="exact"/>
        <w:ind w:firstLine="480" w:firstLineChars="200"/>
        <w:rPr>
          <w:rFonts w:ascii="宋体" w:hAnsi="宋体"/>
          <w:sz w:val="24"/>
          <w:szCs w:val="24"/>
        </w:rPr>
      </w:pPr>
      <w:r>
        <w:rPr>
          <w:rFonts w:hint="eastAsia" w:ascii="宋体" w:hAnsi="宋体"/>
          <w:sz w:val="24"/>
          <w:szCs w:val="24"/>
        </w:rPr>
        <w:t>（5）整体性原则：测评的范围和内容应当整体全面，包括国家等级保护相关要求涉及的各个层面。</w:t>
      </w:r>
    </w:p>
    <w:p>
      <w:pPr>
        <w:spacing w:line="380" w:lineRule="exact"/>
        <w:ind w:firstLine="480" w:firstLineChars="200"/>
        <w:rPr>
          <w:rFonts w:ascii="宋体" w:hAnsi="宋体"/>
          <w:sz w:val="24"/>
          <w:szCs w:val="24"/>
        </w:rPr>
      </w:pPr>
      <w:r>
        <w:rPr>
          <w:rFonts w:hint="eastAsia" w:ascii="宋体" w:hAnsi="宋体"/>
          <w:sz w:val="24"/>
          <w:szCs w:val="24"/>
        </w:rPr>
        <w:t>（6）最小影响原则：测评工作应尽可能小的影响系统和网络，并在可控范围内；测评工作不能对现有信息系统的正常运行、业务的正常开展产生任何影响。</w:t>
      </w:r>
    </w:p>
    <w:p>
      <w:pPr>
        <w:spacing w:line="380" w:lineRule="exact"/>
        <w:ind w:firstLine="480" w:firstLineChars="200"/>
        <w:rPr>
          <w:rFonts w:ascii="宋体" w:hAnsi="宋体"/>
          <w:b/>
          <w:bCs/>
          <w:sz w:val="24"/>
          <w:szCs w:val="24"/>
        </w:rPr>
      </w:pPr>
      <w:bookmarkStart w:id="9" w:name="_Toc26934"/>
      <w:r>
        <w:rPr>
          <w:rFonts w:hint="eastAsia" w:ascii="宋体" w:hAnsi="宋体"/>
          <w:b/>
          <w:bCs/>
          <w:sz w:val="24"/>
          <w:szCs w:val="24"/>
        </w:rPr>
        <w:t>2.3实施范围</w:t>
      </w:r>
      <w:bookmarkEnd w:id="9"/>
    </w:p>
    <w:p>
      <w:pPr>
        <w:spacing w:line="380" w:lineRule="exact"/>
        <w:ind w:firstLine="480" w:firstLineChars="200"/>
        <w:rPr>
          <w:rFonts w:hint="eastAsia" w:ascii="宋体" w:hAnsi="宋体"/>
          <w:sz w:val="24"/>
          <w:szCs w:val="24"/>
          <w:highlight w:val="none"/>
        </w:rPr>
      </w:pPr>
      <w:r>
        <w:rPr>
          <w:rFonts w:hint="eastAsia" w:ascii="宋体" w:hAnsi="宋体"/>
          <w:sz w:val="24"/>
          <w:szCs w:val="24"/>
        </w:rPr>
        <w:t>本次项目主要对以下系统，按照已定级标准，开展</w:t>
      </w:r>
      <w:r>
        <w:rPr>
          <w:rFonts w:hint="eastAsia" w:ascii="宋体" w:hAnsi="宋体"/>
          <w:sz w:val="24"/>
          <w:szCs w:val="24"/>
          <w:highlight w:val="none"/>
          <w:lang w:eastAsia="zh-CN"/>
        </w:rPr>
        <w:t>信息系统三级等级保护</w:t>
      </w:r>
      <w:r>
        <w:rPr>
          <w:rFonts w:hint="eastAsia" w:ascii="宋体" w:hAnsi="宋体"/>
          <w:sz w:val="24"/>
          <w:szCs w:val="24"/>
          <w:highlight w:val="none"/>
        </w:rPr>
        <w:t>测评：</w:t>
      </w:r>
    </w:p>
    <w:p>
      <w:pPr>
        <w:spacing w:line="380" w:lineRule="exact"/>
        <w:ind w:firstLine="480" w:firstLineChars="200"/>
        <w:rPr>
          <w:rFonts w:hint="eastAsia" w:ascii="宋体" w:hAnsi="宋体"/>
          <w:sz w:val="24"/>
          <w:szCs w:val="24"/>
          <w:highlight w:val="none"/>
        </w:rPr>
      </w:pPr>
    </w:p>
    <w:tbl>
      <w:tblPr>
        <w:tblStyle w:val="18"/>
        <w:tblpPr w:leftFromText="180" w:rightFromText="180" w:vertAnchor="text" w:horzAnchor="page" w:tblpX="1331" w:tblpY="163"/>
        <w:tblOverlap w:val="never"/>
        <w:tblW w:w="9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961"/>
        <w:gridCol w:w="1559"/>
        <w:gridCol w:w="2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959" w:type="dxa"/>
            <w:tcBorders>
              <w:bottom w:val="single" w:color="000000" w:sz="4" w:space="0"/>
            </w:tcBorders>
            <w:shd w:val="clear" w:color="auto" w:fill="D7D7D7"/>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4961" w:type="dxa"/>
            <w:tcBorders>
              <w:bottom w:val="single" w:color="000000" w:sz="4" w:space="0"/>
            </w:tcBorders>
            <w:shd w:val="clear" w:color="auto" w:fill="D7D7D7"/>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测评系统名称</w:t>
            </w:r>
          </w:p>
        </w:tc>
        <w:tc>
          <w:tcPr>
            <w:tcW w:w="1559" w:type="dxa"/>
            <w:tcBorders>
              <w:bottom w:val="single" w:color="000000" w:sz="4" w:space="0"/>
            </w:tcBorders>
            <w:shd w:val="clear" w:color="auto" w:fill="D7D7D7"/>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定级情况</w:t>
            </w:r>
          </w:p>
        </w:tc>
        <w:tc>
          <w:tcPr>
            <w:tcW w:w="2303" w:type="dxa"/>
            <w:tcBorders>
              <w:bottom w:val="single" w:color="000000" w:sz="4" w:space="0"/>
            </w:tcBorders>
            <w:shd w:val="clear" w:color="auto" w:fill="D7D7D7"/>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简要说明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vAlign w:val="center"/>
          </w:tcPr>
          <w:p>
            <w:pPr>
              <w:jc w:val="center"/>
              <w:rPr>
                <w:rFonts w:ascii="仿宋_GB2312" w:eastAsia="仿宋_GB2312"/>
                <w:sz w:val="28"/>
                <w:szCs w:val="28"/>
              </w:rPr>
            </w:pPr>
            <w:r>
              <w:rPr>
                <w:rFonts w:hint="eastAsia" w:ascii="仿宋_GB2312" w:eastAsia="仿宋_GB2312"/>
                <w:sz w:val="28"/>
                <w:szCs w:val="28"/>
              </w:rPr>
              <w:t>1</w:t>
            </w:r>
          </w:p>
        </w:tc>
        <w:tc>
          <w:tcPr>
            <w:tcW w:w="4961" w:type="dxa"/>
            <w:shd w:val="clear" w:color="auto" w:fill="auto"/>
            <w:vAlign w:val="center"/>
          </w:tcPr>
          <w:p>
            <w:pPr>
              <w:jc w:val="center"/>
              <w:rPr>
                <w:rFonts w:hint="eastAsia" w:ascii="仿宋_GB2312" w:eastAsia="仿宋_GB2312"/>
                <w:sz w:val="28"/>
                <w:szCs w:val="28"/>
                <w:highlight w:val="yellow"/>
                <w:lang w:val="en-US" w:eastAsia="zh-CN"/>
              </w:rPr>
            </w:pPr>
            <w:r>
              <w:rPr>
                <w:rFonts w:hint="eastAsia" w:ascii="仿宋_GB2312" w:eastAsia="仿宋_GB2312"/>
                <w:sz w:val="28"/>
                <w:szCs w:val="28"/>
                <w:highlight w:val="yellow"/>
                <w:lang w:val="en-US" w:eastAsia="zh-CN"/>
              </w:rPr>
              <w:t>医院综合医疗管理系统</w:t>
            </w:r>
          </w:p>
        </w:tc>
        <w:tc>
          <w:tcPr>
            <w:tcW w:w="1559" w:type="dxa"/>
            <w:shd w:val="clear" w:color="auto" w:fill="auto"/>
            <w:vAlign w:val="center"/>
          </w:tcPr>
          <w:p>
            <w:pPr>
              <w:jc w:val="center"/>
              <w:rPr>
                <w:rFonts w:ascii="仿宋_GB2312" w:eastAsia="仿宋_GB2312"/>
                <w:sz w:val="28"/>
                <w:szCs w:val="28"/>
                <w:highlight w:val="yellow"/>
              </w:rPr>
            </w:pPr>
            <w:r>
              <w:rPr>
                <w:rFonts w:hint="eastAsia" w:ascii="仿宋_GB2312" w:eastAsia="仿宋_GB2312"/>
                <w:sz w:val="28"/>
                <w:szCs w:val="28"/>
                <w:highlight w:val="yellow"/>
                <w:lang w:eastAsia="zh-CN"/>
              </w:rPr>
              <w:t>三</w:t>
            </w:r>
            <w:r>
              <w:rPr>
                <w:rFonts w:hint="eastAsia" w:ascii="仿宋_GB2312" w:eastAsia="仿宋_GB2312"/>
                <w:sz w:val="28"/>
                <w:szCs w:val="28"/>
                <w:highlight w:val="yellow"/>
              </w:rPr>
              <w:t>级</w:t>
            </w:r>
          </w:p>
        </w:tc>
        <w:tc>
          <w:tcPr>
            <w:tcW w:w="2303" w:type="dxa"/>
            <w:shd w:val="clear" w:color="auto" w:fill="auto"/>
            <w:vAlign w:val="center"/>
          </w:tcPr>
          <w:p>
            <w:pPr>
              <w:jc w:val="center"/>
              <w:rPr>
                <w:rFonts w:ascii="仿宋_GB2312" w:eastAsia="仿宋_GB2312"/>
                <w:sz w:val="28"/>
                <w:szCs w:val="2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vAlign w:val="center"/>
          </w:tcPr>
          <w:p>
            <w:pPr>
              <w:jc w:val="center"/>
              <w:rPr>
                <w:rFonts w:hint="eastAsia" w:ascii="仿宋_GB2312" w:eastAsia="仿宋_GB2312"/>
                <w:sz w:val="28"/>
                <w:szCs w:val="28"/>
                <w:lang w:val="en-US" w:eastAsia="zh-CN"/>
              </w:rPr>
            </w:pPr>
            <w:bookmarkStart w:id="10" w:name="_Toc15044"/>
            <w:r>
              <w:rPr>
                <w:rFonts w:hint="eastAsia" w:ascii="仿宋_GB2312" w:eastAsia="仿宋_GB2312"/>
                <w:sz w:val="28"/>
                <w:szCs w:val="28"/>
                <w:lang w:val="en-US" w:eastAsia="zh-CN"/>
              </w:rPr>
              <w:t>2</w:t>
            </w:r>
          </w:p>
        </w:tc>
        <w:tc>
          <w:tcPr>
            <w:tcW w:w="4961" w:type="dxa"/>
            <w:shd w:val="clear" w:color="auto" w:fill="auto"/>
            <w:vAlign w:val="center"/>
          </w:tcPr>
          <w:p>
            <w:pPr>
              <w:jc w:val="center"/>
              <w:rPr>
                <w:rFonts w:hint="default" w:ascii="仿宋_GB2312" w:eastAsia="仿宋_GB2312"/>
                <w:sz w:val="28"/>
                <w:szCs w:val="28"/>
                <w:highlight w:val="yellow"/>
                <w:lang w:val="en-US" w:eastAsia="zh-CN"/>
              </w:rPr>
            </w:pPr>
            <w:r>
              <w:rPr>
                <w:rFonts w:hint="eastAsia" w:ascii="仿宋_GB2312" w:eastAsia="仿宋_GB2312"/>
                <w:sz w:val="28"/>
                <w:szCs w:val="28"/>
                <w:highlight w:val="yellow"/>
                <w:lang w:val="en-US" w:eastAsia="zh-CN"/>
              </w:rPr>
              <w:t>互联网医院综合医疗运营管理平台</w:t>
            </w:r>
          </w:p>
        </w:tc>
        <w:tc>
          <w:tcPr>
            <w:tcW w:w="1559" w:type="dxa"/>
            <w:shd w:val="clear" w:color="auto" w:fill="auto"/>
            <w:vAlign w:val="center"/>
          </w:tcPr>
          <w:p>
            <w:pPr>
              <w:jc w:val="center"/>
              <w:rPr>
                <w:rFonts w:hint="eastAsia" w:ascii="仿宋_GB2312" w:eastAsia="仿宋_GB2312"/>
                <w:sz w:val="28"/>
                <w:szCs w:val="28"/>
                <w:highlight w:val="yellow"/>
                <w:lang w:eastAsia="zh-CN"/>
              </w:rPr>
            </w:pPr>
            <w:r>
              <w:rPr>
                <w:rFonts w:hint="eastAsia" w:ascii="仿宋_GB2312" w:eastAsia="仿宋_GB2312"/>
                <w:sz w:val="28"/>
                <w:szCs w:val="28"/>
                <w:highlight w:val="yellow"/>
                <w:lang w:eastAsia="zh-CN"/>
              </w:rPr>
              <w:t>三</w:t>
            </w:r>
            <w:r>
              <w:rPr>
                <w:rFonts w:hint="eastAsia" w:ascii="仿宋_GB2312" w:eastAsia="仿宋_GB2312"/>
                <w:sz w:val="28"/>
                <w:szCs w:val="28"/>
                <w:highlight w:val="yellow"/>
              </w:rPr>
              <w:t>级</w:t>
            </w:r>
          </w:p>
        </w:tc>
        <w:tc>
          <w:tcPr>
            <w:tcW w:w="2303" w:type="dxa"/>
            <w:shd w:val="clear" w:color="auto" w:fill="auto"/>
            <w:vAlign w:val="center"/>
          </w:tcPr>
          <w:p>
            <w:pPr>
              <w:jc w:val="center"/>
              <w:rPr>
                <w:rFonts w:ascii="仿宋_GB2312" w:eastAsia="仿宋_GB2312"/>
                <w:sz w:val="28"/>
                <w:szCs w:val="28"/>
                <w:highlight w:val="yellow"/>
              </w:rPr>
            </w:pPr>
          </w:p>
        </w:tc>
      </w:tr>
    </w:tbl>
    <w:p>
      <w:pPr>
        <w:spacing w:line="380" w:lineRule="exact"/>
        <w:ind w:firstLine="480" w:firstLineChars="200"/>
        <w:rPr>
          <w:rFonts w:ascii="宋体" w:hAnsi="宋体"/>
          <w:b/>
          <w:bCs/>
          <w:sz w:val="24"/>
          <w:szCs w:val="24"/>
        </w:rPr>
      </w:pPr>
      <w:r>
        <w:rPr>
          <w:rFonts w:hint="eastAsia" w:ascii="宋体" w:hAnsi="宋体"/>
          <w:b/>
          <w:bCs/>
          <w:sz w:val="24"/>
          <w:szCs w:val="24"/>
        </w:rPr>
        <w:t>2.4实施内容</w:t>
      </w:r>
      <w:bookmarkEnd w:id="10"/>
    </w:p>
    <w:p>
      <w:pPr>
        <w:spacing w:line="380" w:lineRule="exact"/>
        <w:ind w:firstLine="480" w:firstLineChars="200"/>
        <w:rPr>
          <w:rFonts w:ascii="宋体" w:hAnsi="宋体"/>
          <w:sz w:val="24"/>
          <w:szCs w:val="24"/>
        </w:rPr>
      </w:pPr>
      <w:r>
        <w:rPr>
          <w:rFonts w:hint="eastAsia" w:ascii="宋体" w:hAnsi="宋体"/>
          <w:sz w:val="24"/>
          <w:szCs w:val="24"/>
        </w:rPr>
        <w:t>对已定级备案的系统进行十个安全层面的网络安全等级保护测评（安全物理环境、安全通信网络、安全区域边界、安全计算环境、安全管理中心、安全管理制度、安全管理机构、安全管理人员、安全建设管理、安全运维管理）。</w:t>
      </w:r>
    </w:p>
    <w:p>
      <w:pPr>
        <w:spacing w:line="380" w:lineRule="exact"/>
        <w:ind w:firstLine="480" w:firstLineChars="200"/>
        <w:rPr>
          <w:rFonts w:ascii="宋体" w:hAnsi="宋体"/>
          <w:sz w:val="24"/>
          <w:szCs w:val="24"/>
        </w:rPr>
      </w:pPr>
      <w:r>
        <w:rPr>
          <w:rFonts w:hint="eastAsia" w:ascii="宋体" w:hAnsi="宋体"/>
          <w:sz w:val="24"/>
          <w:szCs w:val="24"/>
        </w:rPr>
        <w:t>测评包括两个方面的内容：一是安全控制测评，主要测评信息安全等级保护要求的基本安全控制在信息系统中的实施配置情况；二是系统整体测评，主要测评分析信息系统的整体安全性。其中，安全控制测评是信息系统整体安全测评的基础。</w:t>
      </w:r>
    </w:p>
    <w:p>
      <w:pPr>
        <w:spacing w:line="380" w:lineRule="exact"/>
        <w:ind w:firstLine="480" w:firstLineChars="200"/>
        <w:rPr>
          <w:rFonts w:ascii="宋体" w:hAnsi="宋体"/>
          <w:sz w:val="24"/>
          <w:szCs w:val="24"/>
        </w:rPr>
      </w:pPr>
      <w:r>
        <w:rPr>
          <w:rFonts w:hint="eastAsia" w:ascii="宋体" w:hAnsi="宋体"/>
          <w:sz w:val="24"/>
          <w:szCs w:val="24"/>
        </w:rPr>
        <w:t>安全控制测评使用测评单元方式组织，分为安全技术测评和安全管理测评两大类。安全技术测评包括：安全物理环境、安全通信网络、安全区域边界、安全计算环境、安全管理中心五个层面上的安全控制测评；安全管理测评包括：安全管理制度、安全管理机构、安全管理人员、安全建设管理、安全运维管理五个方面的安全控制测评。具体见下图2.1：</w:t>
      </w:r>
    </w:p>
    <w:p>
      <w:pPr>
        <w:rPr>
          <w:rFonts w:ascii="仿宋_GB2312" w:hAnsi="仿宋" w:eastAsia="仿宋_GB2312" w:cs="宋体"/>
          <w:sz w:val="28"/>
          <w:szCs w:val="28"/>
        </w:rPr>
      </w:pPr>
      <w:r>
        <w:rPr>
          <w:rFonts w:hint="eastAsia"/>
        </w:rPr>
        <w:object>
          <v:shape id="_x0000_i1025" o:spt="75" type="#_x0000_t75" style="height:213.75pt;width:414pt;" o:ole="t" filled="f" o:preferrelative="t" stroked="f" coordsize="21600,21600">
            <v:path/>
            <v:fill on="f" focussize="0,0"/>
            <v:stroke on="f" joinstyle="miter"/>
            <v:imagedata r:id="rId8" o:title=""/>
            <o:lock v:ext="edit" aspectratio="f"/>
            <w10:wrap type="none"/>
            <w10:anchorlock/>
          </v:shape>
          <o:OLEObject Type="Embed" ProgID="Visio.Drawing.15" ShapeID="_x0000_i1025" DrawAspect="Content" ObjectID="_1468075725" r:id="rId7">
            <o:LockedField>false</o:LockedField>
          </o:OLEObject>
        </w:object>
      </w:r>
    </w:p>
    <w:p>
      <w:pPr>
        <w:spacing w:line="592" w:lineRule="exact"/>
        <w:ind w:firstLine="420" w:firstLineChars="200"/>
        <w:jc w:val="center"/>
        <w:rPr>
          <w:rFonts w:ascii="宋体" w:hAnsi="宋体"/>
        </w:rPr>
      </w:pPr>
      <w:r>
        <w:rPr>
          <w:rFonts w:hint="eastAsia" w:ascii="宋体" w:hAnsi="宋体"/>
        </w:rPr>
        <w:t>图2.1  网络安全等级保护测评框架</w:t>
      </w:r>
    </w:p>
    <w:p>
      <w:pPr>
        <w:spacing w:line="380" w:lineRule="exact"/>
        <w:ind w:firstLine="480" w:firstLineChars="200"/>
        <w:rPr>
          <w:rFonts w:ascii="宋体" w:hAnsi="宋体"/>
          <w:b/>
          <w:bCs/>
          <w:sz w:val="24"/>
          <w:szCs w:val="24"/>
        </w:rPr>
      </w:pPr>
      <w:bookmarkStart w:id="11" w:name="_Toc5644"/>
      <w:r>
        <w:rPr>
          <w:rFonts w:hint="eastAsia" w:ascii="宋体" w:hAnsi="宋体"/>
          <w:b/>
          <w:bCs/>
          <w:sz w:val="24"/>
          <w:szCs w:val="24"/>
        </w:rPr>
        <w:t>3.过程控制</w:t>
      </w:r>
      <w:bookmarkEnd w:id="11"/>
    </w:p>
    <w:p>
      <w:pPr>
        <w:spacing w:line="380" w:lineRule="exact"/>
        <w:ind w:firstLine="480" w:firstLineChars="200"/>
        <w:rPr>
          <w:rFonts w:ascii="宋体" w:hAnsi="宋体"/>
          <w:sz w:val="24"/>
          <w:szCs w:val="24"/>
        </w:rPr>
      </w:pPr>
      <w:r>
        <w:rPr>
          <w:rFonts w:hint="eastAsia" w:ascii="宋体" w:hAnsi="宋体"/>
          <w:sz w:val="24"/>
          <w:szCs w:val="24"/>
        </w:rPr>
        <w:t>网络安全等级保护测评分为测评准备、方案编制、现场测评、分析与报告编制四个阶段，各阶段主要工作如下：</w:t>
      </w:r>
    </w:p>
    <w:p>
      <w:pPr>
        <w:spacing w:line="380" w:lineRule="exact"/>
        <w:ind w:firstLine="480" w:firstLineChars="200"/>
        <w:rPr>
          <w:rFonts w:ascii="宋体" w:hAnsi="宋体"/>
          <w:b/>
          <w:bCs/>
          <w:sz w:val="24"/>
          <w:szCs w:val="24"/>
        </w:rPr>
      </w:pPr>
      <w:bookmarkStart w:id="12" w:name="_Toc21643"/>
      <w:r>
        <w:rPr>
          <w:rFonts w:hint="eastAsia" w:ascii="宋体" w:hAnsi="宋体"/>
          <w:b/>
          <w:bCs/>
          <w:sz w:val="24"/>
          <w:szCs w:val="24"/>
        </w:rPr>
        <w:t>3.1测评准备阶段</w:t>
      </w:r>
      <w:bookmarkEnd w:id="12"/>
    </w:p>
    <w:p>
      <w:pPr>
        <w:spacing w:line="380" w:lineRule="exact"/>
        <w:ind w:firstLine="480" w:firstLineChars="200"/>
        <w:rPr>
          <w:rFonts w:ascii="宋体" w:hAnsi="宋体"/>
          <w:sz w:val="24"/>
          <w:szCs w:val="24"/>
        </w:rPr>
      </w:pPr>
      <w:r>
        <w:rPr>
          <w:rFonts w:hint="eastAsia" w:ascii="宋体" w:hAnsi="宋体"/>
          <w:sz w:val="24"/>
          <w:szCs w:val="24"/>
        </w:rPr>
        <w:t>主要包括以下工作内容：</w:t>
      </w:r>
    </w:p>
    <w:p>
      <w:pPr>
        <w:spacing w:line="380" w:lineRule="exact"/>
        <w:ind w:firstLine="480" w:firstLineChars="200"/>
        <w:rPr>
          <w:rFonts w:ascii="宋体" w:hAnsi="宋体"/>
          <w:sz w:val="24"/>
          <w:szCs w:val="24"/>
        </w:rPr>
      </w:pPr>
      <w:r>
        <w:rPr>
          <w:rFonts w:hint="eastAsia" w:ascii="宋体" w:hAnsi="宋体"/>
          <w:sz w:val="24"/>
          <w:szCs w:val="24"/>
        </w:rPr>
        <w:t>测评项目组组建：明确项目经理、测评人员及职责分工。</w:t>
      </w:r>
    </w:p>
    <w:p>
      <w:pPr>
        <w:spacing w:line="380" w:lineRule="exact"/>
        <w:ind w:firstLine="480" w:firstLineChars="200"/>
        <w:rPr>
          <w:rFonts w:ascii="宋体" w:hAnsi="宋体"/>
          <w:sz w:val="24"/>
          <w:szCs w:val="24"/>
        </w:rPr>
      </w:pPr>
      <w:r>
        <w:rPr>
          <w:rFonts w:hint="eastAsia" w:ascii="宋体" w:hAnsi="宋体"/>
          <w:sz w:val="24"/>
          <w:szCs w:val="24"/>
        </w:rPr>
        <w:t>项目计划书编制：项目计划书包含项目概述、工作依据、技术思路、工作内容和项目组织等。</w:t>
      </w:r>
    </w:p>
    <w:p>
      <w:pPr>
        <w:spacing w:line="380" w:lineRule="exact"/>
        <w:ind w:firstLine="480" w:firstLineChars="200"/>
        <w:rPr>
          <w:rFonts w:ascii="宋体" w:hAnsi="宋体"/>
          <w:sz w:val="24"/>
          <w:szCs w:val="24"/>
        </w:rPr>
      </w:pPr>
      <w:r>
        <w:rPr>
          <w:rFonts w:hint="eastAsia" w:ascii="宋体" w:hAnsi="宋体"/>
          <w:sz w:val="24"/>
          <w:szCs w:val="24"/>
        </w:rPr>
        <w:t>信息系统调研：通过查阅被测系统已有资料或使用调查表格的方式，了解整个系统的构成和保护情况，明确被测系统的范围（特别是信息系统的边界），了解被测系统的详细构成，包括网络拓扑、业务应用、业务流程、设备信息（服务器、数据库、网络设备、安全设备、数据库等）、管理制度等。</w:t>
      </w:r>
    </w:p>
    <w:p>
      <w:pPr>
        <w:spacing w:line="380" w:lineRule="exact"/>
        <w:ind w:firstLine="480" w:firstLineChars="200"/>
        <w:rPr>
          <w:rFonts w:ascii="宋体" w:hAnsi="宋体"/>
          <w:sz w:val="24"/>
          <w:szCs w:val="24"/>
        </w:rPr>
      </w:pPr>
      <w:r>
        <w:rPr>
          <w:rFonts w:hint="eastAsia" w:ascii="宋体" w:hAnsi="宋体"/>
          <w:sz w:val="24"/>
          <w:szCs w:val="24"/>
        </w:rPr>
        <w:t>工具和表单准备：根据被测系统的实际情况，准备测评工具和各类测评表单。</w:t>
      </w:r>
    </w:p>
    <w:p>
      <w:pPr>
        <w:spacing w:line="380" w:lineRule="exact"/>
        <w:ind w:firstLine="480" w:firstLineChars="200"/>
        <w:rPr>
          <w:rFonts w:ascii="宋体" w:hAnsi="宋体"/>
          <w:sz w:val="24"/>
          <w:szCs w:val="24"/>
        </w:rPr>
      </w:pPr>
      <w:r>
        <w:rPr>
          <w:rFonts w:hint="eastAsia" w:ascii="宋体" w:hAnsi="宋体"/>
          <w:sz w:val="24"/>
          <w:szCs w:val="24"/>
        </w:rPr>
        <w:t>输出文档：《项目计划书》、《系统调研表》、《工具清单》、各类表单。</w:t>
      </w:r>
    </w:p>
    <w:p>
      <w:pPr>
        <w:spacing w:line="380" w:lineRule="exact"/>
        <w:ind w:firstLine="480" w:firstLineChars="200"/>
        <w:rPr>
          <w:rFonts w:ascii="宋体" w:hAnsi="宋体"/>
          <w:b/>
          <w:bCs/>
          <w:sz w:val="24"/>
          <w:szCs w:val="24"/>
        </w:rPr>
      </w:pPr>
      <w:bookmarkStart w:id="13" w:name="_Toc10099"/>
      <w:r>
        <w:rPr>
          <w:rFonts w:hint="eastAsia" w:ascii="宋体" w:hAnsi="宋体"/>
          <w:b/>
          <w:bCs/>
          <w:sz w:val="24"/>
          <w:szCs w:val="24"/>
        </w:rPr>
        <w:t>3.2方案编制阶段</w:t>
      </w:r>
      <w:bookmarkEnd w:id="13"/>
    </w:p>
    <w:p>
      <w:pPr>
        <w:spacing w:line="380" w:lineRule="exact"/>
        <w:ind w:firstLine="480" w:firstLineChars="200"/>
        <w:rPr>
          <w:rFonts w:ascii="宋体" w:hAnsi="宋体"/>
          <w:sz w:val="24"/>
          <w:szCs w:val="24"/>
        </w:rPr>
      </w:pPr>
      <w:r>
        <w:rPr>
          <w:rFonts w:hint="eastAsia" w:ascii="宋体" w:hAnsi="宋体"/>
          <w:sz w:val="24"/>
          <w:szCs w:val="24"/>
        </w:rPr>
        <w:t>主要包括以下工作内容：</w:t>
      </w:r>
    </w:p>
    <w:p>
      <w:pPr>
        <w:spacing w:line="380" w:lineRule="exact"/>
        <w:ind w:firstLine="480" w:firstLineChars="200"/>
        <w:rPr>
          <w:rFonts w:ascii="宋体" w:hAnsi="宋体"/>
          <w:sz w:val="24"/>
          <w:szCs w:val="24"/>
        </w:rPr>
      </w:pPr>
      <w:r>
        <w:rPr>
          <w:rFonts w:hint="eastAsia" w:ascii="宋体" w:hAnsi="宋体"/>
          <w:sz w:val="24"/>
          <w:szCs w:val="24"/>
        </w:rPr>
        <w:t>测评对象确定：根据已经了解到的被测系统信息，分析整个被测系统及其涉及的业务应用系统，确定出本次测评的测评对象。</w:t>
      </w:r>
    </w:p>
    <w:p>
      <w:pPr>
        <w:spacing w:line="380" w:lineRule="exact"/>
        <w:ind w:firstLine="480" w:firstLineChars="200"/>
        <w:rPr>
          <w:rFonts w:ascii="宋体" w:hAnsi="宋体"/>
          <w:sz w:val="24"/>
          <w:szCs w:val="24"/>
        </w:rPr>
      </w:pPr>
      <w:r>
        <w:rPr>
          <w:rFonts w:hint="eastAsia" w:ascii="宋体" w:hAnsi="宋体"/>
          <w:sz w:val="24"/>
          <w:szCs w:val="24"/>
        </w:rPr>
        <w:t>测评指标确定：根据已经了解到的被测系统定级结果，确定出本次测评的测评指标。</w:t>
      </w:r>
    </w:p>
    <w:p>
      <w:pPr>
        <w:spacing w:line="380" w:lineRule="exact"/>
        <w:ind w:firstLine="480" w:firstLineChars="200"/>
        <w:rPr>
          <w:rFonts w:ascii="宋体" w:hAnsi="宋体"/>
          <w:sz w:val="24"/>
          <w:szCs w:val="24"/>
        </w:rPr>
      </w:pPr>
      <w:r>
        <w:rPr>
          <w:rFonts w:hint="eastAsia" w:ascii="宋体" w:hAnsi="宋体"/>
          <w:sz w:val="24"/>
          <w:szCs w:val="24"/>
        </w:rPr>
        <w:t>测评工具接入点确定：确定需要进行工具测试的测评对象，选择测试路径，根据测试路径确定测试工具的接入点。</w:t>
      </w:r>
    </w:p>
    <w:p>
      <w:pPr>
        <w:spacing w:line="380" w:lineRule="exact"/>
        <w:ind w:firstLine="480" w:firstLineChars="200"/>
        <w:rPr>
          <w:rFonts w:ascii="宋体" w:hAnsi="宋体"/>
          <w:sz w:val="24"/>
          <w:szCs w:val="24"/>
        </w:rPr>
      </w:pPr>
      <w:r>
        <w:rPr>
          <w:rFonts w:hint="eastAsia" w:ascii="宋体" w:hAnsi="宋体"/>
          <w:sz w:val="24"/>
          <w:szCs w:val="24"/>
        </w:rPr>
        <w:t>测评内容确定：确定现场测评的具体实施内容，即单元测评内容。</w:t>
      </w:r>
    </w:p>
    <w:p>
      <w:pPr>
        <w:spacing w:line="380" w:lineRule="exact"/>
        <w:ind w:firstLine="480" w:firstLineChars="200"/>
        <w:rPr>
          <w:rFonts w:ascii="宋体" w:hAnsi="宋体"/>
          <w:sz w:val="24"/>
          <w:szCs w:val="24"/>
        </w:rPr>
      </w:pPr>
      <w:r>
        <w:rPr>
          <w:rFonts w:hint="eastAsia" w:ascii="宋体" w:hAnsi="宋体"/>
          <w:sz w:val="24"/>
          <w:szCs w:val="24"/>
        </w:rPr>
        <w:t>测评实施手册开发：编制测评实施手册，详细描述现场测评的工具、方法和操作步骤等，具体指导测评人员如何进行测评活动。</w:t>
      </w:r>
    </w:p>
    <w:p>
      <w:pPr>
        <w:spacing w:line="380" w:lineRule="exact"/>
        <w:ind w:firstLine="480" w:firstLineChars="200"/>
        <w:rPr>
          <w:rFonts w:ascii="宋体" w:hAnsi="宋体"/>
          <w:sz w:val="24"/>
          <w:szCs w:val="24"/>
        </w:rPr>
      </w:pPr>
      <w:r>
        <w:rPr>
          <w:rFonts w:hint="eastAsia" w:ascii="宋体" w:hAnsi="宋体"/>
          <w:sz w:val="24"/>
          <w:szCs w:val="24"/>
        </w:rPr>
        <w:t>输出文档：《测评方案》、《测评指导书》。</w:t>
      </w:r>
    </w:p>
    <w:p>
      <w:pPr>
        <w:spacing w:line="380" w:lineRule="exact"/>
        <w:ind w:firstLine="480" w:firstLineChars="200"/>
        <w:rPr>
          <w:rFonts w:ascii="宋体" w:hAnsi="宋体"/>
          <w:b/>
          <w:bCs/>
          <w:sz w:val="24"/>
          <w:szCs w:val="24"/>
        </w:rPr>
      </w:pPr>
      <w:bookmarkStart w:id="14" w:name="_Toc17727"/>
      <w:r>
        <w:rPr>
          <w:rFonts w:hint="eastAsia" w:ascii="宋体" w:hAnsi="宋体"/>
          <w:b/>
          <w:bCs/>
          <w:sz w:val="24"/>
          <w:szCs w:val="24"/>
        </w:rPr>
        <w:t>3.3现场测评阶段</w:t>
      </w:r>
      <w:bookmarkEnd w:id="14"/>
    </w:p>
    <w:p>
      <w:pPr>
        <w:spacing w:line="380" w:lineRule="exact"/>
        <w:ind w:firstLine="480" w:firstLineChars="200"/>
        <w:rPr>
          <w:rFonts w:ascii="宋体" w:hAnsi="宋体"/>
          <w:sz w:val="24"/>
          <w:szCs w:val="24"/>
        </w:rPr>
      </w:pPr>
      <w:r>
        <w:rPr>
          <w:rFonts w:hint="eastAsia" w:ascii="宋体" w:hAnsi="宋体"/>
          <w:sz w:val="24"/>
          <w:szCs w:val="24"/>
        </w:rPr>
        <w:t>现场测评主要指单项测评，分别从技术上的安全物理环境、安全通信网络、安全区域边界、安全计算环境、安全管理中心和管理上的安全管理机构、安全管理制度、安全管理人员、安全建设管理和安全运维管理分别进行。</w:t>
      </w:r>
    </w:p>
    <w:p>
      <w:pPr>
        <w:spacing w:line="380" w:lineRule="exact"/>
        <w:ind w:firstLine="480" w:firstLineChars="200"/>
        <w:rPr>
          <w:rFonts w:ascii="宋体" w:hAnsi="宋体"/>
          <w:sz w:val="24"/>
          <w:szCs w:val="24"/>
        </w:rPr>
      </w:pPr>
      <w:r>
        <w:rPr>
          <w:rFonts w:hint="eastAsia" w:ascii="宋体" w:hAnsi="宋体"/>
          <w:sz w:val="24"/>
          <w:szCs w:val="24"/>
        </w:rPr>
        <w:t>安全物理环境：通过人员访谈、文档审查和实地察看的方式测评信息系统的物理安全保障情况。主要涉及对象为物理基础设施。在内容上，安全物理环境层面测评实施过程涉及10个测评单元，包括：物理位置选择、物理访问控制、防盗窃和防破坏、防雷击、防火、防水和防潮、防静电、温湿度控制、电力供应、电磁防护等。</w:t>
      </w:r>
    </w:p>
    <w:p>
      <w:pPr>
        <w:spacing w:line="380" w:lineRule="exact"/>
        <w:ind w:firstLine="480" w:firstLineChars="200"/>
        <w:rPr>
          <w:rFonts w:ascii="宋体" w:hAnsi="宋体"/>
          <w:sz w:val="24"/>
          <w:szCs w:val="24"/>
        </w:rPr>
      </w:pPr>
      <w:r>
        <w:rPr>
          <w:rFonts w:hint="eastAsia" w:ascii="宋体" w:hAnsi="宋体"/>
          <w:sz w:val="24"/>
          <w:szCs w:val="24"/>
        </w:rPr>
        <w:t>安全通信网络：通过访人员访谈、配置检查和工具测试的方式测评信息系统的网络通信安全保障情况。主要涉及对象为网络整体架构、网络拓扑结构、通信传输方式等。在内容上，安全通信网络层面测评实施过程涉及3个测评单元，包括：网络架构、通信传输、可信验证。</w:t>
      </w:r>
    </w:p>
    <w:p>
      <w:pPr>
        <w:spacing w:line="380" w:lineRule="exact"/>
        <w:ind w:firstLine="480" w:firstLineChars="200"/>
        <w:rPr>
          <w:rFonts w:ascii="宋体" w:hAnsi="宋体"/>
          <w:sz w:val="24"/>
          <w:szCs w:val="24"/>
        </w:rPr>
      </w:pPr>
      <w:r>
        <w:rPr>
          <w:rFonts w:hint="eastAsia" w:ascii="宋体" w:hAnsi="宋体"/>
          <w:sz w:val="24"/>
          <w:szCs w:val="24"/>
        </w:rPr>
        <w:t>安全区域边界：通过访人员访谈、配置检查和工具测试的方式测评信息系统的网络边界安全保障情况。主要涉及对象为网络边界互连设备、网络边界安全设备以及安全控制策略等。在内容上，安全区域边界层面测评实施过程涉及6个测评单元，包括：边界防护、访问控制、入侵防范、恶意代码和垃圾邮件防范、安全审计、可信验证等。</w:t>
      </w:r>
    </w:p>
    <w:p>
      <w:pPr>
        <w:spacing w:line="380" w:lineRule="exact"/>
        <w:ind w:firstLine="480" w:firstLineChars="200"/>
        <w:rPr>
          <w:rFonts w:ascii="宋体" w:hAnsi="宋体"/>
          <w:sz w:val="24"/>
          <w:szCs w:val="24"/>
        </w:rPr>
      </w:pPr>
      <w:r>
        <w:rPr>
          <w:rFonts w:hint="eastAsia" w:ascii="宋体" w:hAnsi="宋体"/>
          <w:sz w:val="24"/>
          <w:szCs w:val="24"/>
        </w:rPr>
        <w:t>安全计算环境：通过访人员访谈、配置检查和工具测试的方式测评信息系统的网络边界安全保障情况。主要涉及对象为网络设备、安全设备、主机、数据库以及应用系统等。在内容上，安全计算环境层面测评实施过程涉及11个测评单元，包括：身份鉴别、访问控制、安全审计、入侵防范、恶意代码防范、可信验证、数据完整性、数据保密性、数据备份恢复、剩余信息保护、个人信息保护等。</w:t>
      </w:r>
    </w:p>
    <w:p>
      <w:pPr>
        <w:spacing w:line="380" w:lineRule="exact"/>
        <w:ind w:firstLine="480" w:firstLineChars="200"/>
        <w:rPr>
          <w:rFonts w:ascii="宋体" w:hAnsi="宋体"/>
          <w:sz w:val="24"/>
          <w:szCs w:val="24"/>
        </w:rPr>
      </w:pPr>
      <w:r>
        <w:rPr>
          <w:rFonts w:hint="eastAsia" w:ascii="宋体" w:hAnsi="宋体"/>
          <w:sz w:val="24"/>
          <w:szCs w:val="24"/>
        </w:rPr>
        <w:t>安全管理中心：通过访人员访谈、配置检查的方式测评信息系统的集中安全管理保障情况。主要涉及对象为系统各类安全审计系统、综合网管系统、网络拓扑以及集中安全管理功能系统等。在内容上，安全管理中心层面测评实施过程涉及4个测评单元，包括：系统管理、审计管理、安全管理、集中管控等。</w:t>
      </w:r>
    </w:p>
    <w:p>
      <w:pPr>
        <w:spacing w:line="380" w:lineRule="exact"/>
        <w:ind w:firstLine="480" w:firstLineChars="200"/>
        <w:rPr>
          <w:rFonts w:ascii="宋体" w:hAnsi="宋体"/>
          <w:sz w:val="24"/>
          <w:szCs w:val="24"/>
        </w:rPr>
      </w:pPr>
      <w:r>
        <w:rPr>
          <w:rFonts w:hint="eastAsia" w:ascii="宋体" w:hAnsi="宋体"/>
          <w:sz w:val="24"/>
          <w:szCs w:val="24"/>
        </w:rPr>
        <w:t>安全管理制度：通过人员访谈、文档审查和实地察看的方式测评信息系统的安全管理制度情况。在内容上，安全管理制度方面测评实施过程涉及4个测评单元，包括：安全策略、管理制度、制定和发布、评审和修订。</w:t>
      </w:r>
    </w:p>
    <w:p>
      <w:pPr>
        <w:spacing w:line="380" w:lineRule="exact"/>
        <w:ind w:firstLine="480" w:firstLineChars="200"/>
        <w:rPr>
          <w:rFonts w:ascii="宋体" w:hAnsi="宋体"/>
          <w:sz w:val="24"/>
          <w:szCs w:val="24"/>
        </w:rPr>
      </w:pPr>
      <w:r>
        <w:rPr>
          <w:rFonts w:hint="eastAsia" w:ascii="宋体" w:hAnsi="宋体"/>
          <w:sz w:val="24"/>
          <w:szCs w:val="24"/>
        </w:rPr>
        <w:t>安全管理机构：通过人员访谈、文档审查的方式测评信息系统的安全管理机构情况。在内容上，安全管理机构方面测评实施过程涉及5个测评单元，包括：岗位设置、人员配备、授权和审批、沟通和合作、审核和检查。</w:t>
      </w:r>
    </w:p>
    <w:p>
      <w:pPr>
        <w:spacing w:line="380" w:lineRule="exact"/>
        <w:ind w:firstLine="480" w:firstLineChars="200"/>
        <w:rPr>
          <w:rFonts w:ascii="宋体" w:hAnsi="宋体"/>
          <w:sz w:val="24"/>
          <w:szCs w:val="24"/>
        </w:rPr>
      </w:pPr>
      <w:r>
        <w:rPr>
          <w:rFonts w:hint="eastAsia" w:ascii="宋体" w:hAnsi="宋体"/>
          <w:sz w:val="24"/>
          <w:szCs w:val="24"/>
        </w:rPr>
        <w:t>安全管理人员：通过人员访谈、文档审查的方式测评信息系统的人员安全管理情况。在内容上，安全管理人员方面测评实施过程涉及4个测评单元，包括：人员录用、人员离岗、安全意识教育和培训、外部人员访问管理。</w:t>
      </w:r>
    </w:p>
    <w:p>
      <w:pPr>
        <w:spacing w:line="380" w:lineRule="exact"/>
        <w:ind w:firstLine="480" w:firstLineChars="200"/>
        <w:rPr>
          <w:rFonts w:ascii="宋体" w:hAnsi="宋体"/>
          <w:sz w:val="24"/>
          <w:szCs w:val="24"/>
        </w:rPr>
      </w:pPr>
      <w:r>
        <w:rPr>
          <w:rFonts w:hint="eastAsia" w:ascii="宋体" w:hAnsi="宋体"/>
          <w:sz w:val="24"/>
          <w:szCs w:val="24"/>
        </w:rPr>
        <w:t>安全建设管理：通过人员访谈、文档审查的方式测评信息系统的系统建设管理情况。在内容上，安全建设管理方面测评实施过程涉及10个测评单元，包括：定级和备案、安全方案设计、产品采购和使用、自行软件开发、外包软件开发、工程实施、测试验收、系统交付、等级测评、服务供应商选择。</w:t>
      </w:r>
    </w:p>
    <w:p>
      <w:pPr>
        <w:spacing w:line="380" w:lineRule="exact"/>
        <w:ind w:firstLine="480" w:firstLineChars="200"/>
        <w:rPr>
          <w:rFonts w:ascii="宋体" w:hAnsi="宋体"/>
          <w:sz w:val="24"/>
          <w:szCs w:val="24"/>
        </w:rPr>
      </w:pPr>
      <w:r>
        <w:rPr>
          <w:rFonts w:hint="eastAsia" w:ascii="宋体" w:hAnsi="宋体"/>
          <w:sz w:val="24"/>
          <w:szCs w:val="24"/>
        </w:rPr>
        <w:t>安全运维管理：通过人员访谈、文档审查的方式测评信息系统的系统运维管理情况。在内容上，安全运维管理方面测评实施过程涉及14个测评单元，包括：环境管理、资产管理、介质管理、设备维护管理、漏洞和风险管理、网络和系统安全管理、恶意代码防范管理、配置管理、密码管理、变更管理、备份与恢复管理、安全事件处置、应急预案管理、外包运维管理。</w:t>
      </w:r>
    </w:p>
    <w:p>
      <w:pPr>
        <w:spacing w:line="380" w:lineRule="exact"/>
        <w:ind w:firstLine="480" w:firstLineChars="200"/>
        <w:rPr>
          <w:rFonts w:ascii="宋体" w:hAnsi="宋体"/>
          <w:sz w:val="24"/>
          <w:szCs w:val="24"/>
        </w:rPr>
      </w:pPr>
      <w:r>
        <w:rPr>
          <w:rFonts w:hint="eastAsia" w:ascii="宋体" w:hAnsi="宋体"/>
          <w:sz w:val="24"/>
          <w:szCs w:val="24"/>
        </w:rPr>
        <w:t>输出文档：现场测评结果记录。</w:t>
      </w:r>
    </w:p>
    <w:p>
      <w:pPr>
        <w:spacing w:line="380" w:lineRule="exact"/>
        <w:ind w:firstLine="480" w:firstLineChars="200"/>
        <w:rPr>
          <w:rFonts w:ascii="宋体" w:hAnsi="宋体"/>
          <w:b/>
          <w:bCs/>
          <w:sz w:val="24"/>
          <w:szCs w:val="24"/>
        </w:rPr>
      </w:pPr>
      <w:bookmarkStart w:id="15" w:name="_Toc9029"/>
      <w:r>
        <w:rPr>
          <w:rFonts w:hint="eastAsia" w:ascii="宋体" w:hAnsi="宋体"/>
          <w:b/>
          <w:bCs/>
          <w:sz w:val="24"/>
          <w:szCs w:val="24"/>
        </w:rPr>
        <w:t>3.4分析与报告编制阶段</w:t>
      </w:r>
      <w:bookmarkEnd w:id="15"/>
    </w:p>
    <w:p>
      <w:pPr>
        <w:spacing w:line="380" w:lineRule="exact"/>
        <w:ind w:firstLine="480" w:firstLineChars="200"/>
        <w:rPr>
          <w:rFonts w:ascii="宋体" w:hAnsi="宋体"/>
          <w:sz w:val="24"/>
          <w:szCs w:val="24"/>
        </w:rPr>
      </w:pPr>
      <w:r>
        <w:rPr>
          <w:rFonts w:hint="eastAsia" w:ascii="宋体" w:hAnsi="宋体"/>
          <w:sz w:val="24"/>
          <w:szCs w:val="24"/>
        </w:rPr>
        <w:t>主要包括以下工作内容：</w:t>
      </w:r>
    </w:p>
    <w:p>
      <w:pPr>
        <w:spacing w:line="380" w:lineRule="exact"/>
        <w:ind w:firstLine="480" w:firstLineChars="200"/>
        <w:rPr>
          <w:rFonts w:ascii="宋体" w:hAnsi="宋体"/>
          <w:sz w:val="24"/>
          <w:szCs w:val="24"/>
        </w:rPr>
      </w:pPr>
      <w:r>
        <w:rPr>
          <w:rFonts w:hint="eastAsia" w:ascii="宋体" w:hAnsi="宋体"/>
          <w:sz w:val="24"/>
          <w:szCs w:val="24"/>
        </w:rPr>
        <w:t>单项测评结果分析：针对测评指标中的单个测评项，结合具体测评对象，客观、准确地分析测评证据。</w:t>
      </w:r>
    </w:p>
    <w:p>
      <w:pPr>
        <w:spacing w:line="380" w:lineRule="exact"/>
        <w:ind w:firstLine="480" w:firstLineChars="200"/>
        <w:rPr>
          <w:rFonts w:ascii="宋体" w:hAnsi="宋体"/>
          <w:sz w:val="24"/>
          <w:szCs w:val="24"/>
        </w:rPr>
      </w:pPr>
      <w:r>
        <w:rPr>
          <w:rFonts w:hint="eastAsia" w:ascii="宋体" w:hAnsi="宋体"/>
          <w:sz w:val="24"/>
          <w:szCs w:val="24"/>
        </w:rPr>
        <w:t>单元测评结果判定：将单项测评结果进行汇总，分别统计不同测评对象的单项测评结果，从而判定单元测评结果，并以表格的形式逐一列出。</w:t>
      </w:r>
    </w:p>
    <w:p>
      <w:pPr>
        <w:spacing w:line="380" w:lineRule="exact"/>
        <w:ind w:firstLine="480" w:firstLineChars="200"/>
        <w:rPr>
          <w:rFonts w:ascii="宋体" w:hAnsi="宋体"/>
          <w:sz w:val="24"/>
          <w:szCs w:val="24"/>
        </w:rPr>
      </w:pPr>
      <w:r>
        <w:rPr>
          <w:rFonts w:hint="eastAsia" w:ascii="宋体" w:hAnsi="宋体"/>
          <w:sz w:val="24"/>
          <w:szCs w:val="24"/>
        </w:rPr>
        <w:t>整体测评：针对单项测评结果的不符合项，采取逐条判定的方法，从安全控制间、层面间和区域间出发考虑，给出整体测评的具体结果，并对系统结构进行整体安全测评。</w:t>
      </w:r>
    </w:p>
    <w:p>
      <w:pPr>
        <w:spacing w:line="380" w:lineRule="exact"/>
        <w:ind w:firstLine="480" w:firstLineChars="200"/>
        <w:rPr>
          <w:rFonts w:ascii="宋体" w:hAnsi="宋体"/>
          <w:sz w:val="24"/>
          <w:szCs w:val="24"/>
        </w:rPr>
      </w:pPr>
      <w:r>
        <w:rPr>
          <w:rFonts w:hint="eastAsia" w:ascii="宋体" w:hAnsi="宋体"/>
          <w:sz w:val="24"/>
          <w:szCs w:val="24"/>
        </w:rPr>
        <w:t>风险分析：据等级保护的相关规范和标准，采用风险分析的方法分析等级测评结果中存在的安全问题可能对被测系统安全造成的影响。</w:t>
      </w:r>
    </w:p>
    <w:p>
      <w:pPr>
        <w:spacing w:line="380" w:lineRule="exact"/>
        <w:ind w:firstLine="480" w:firstLineChars="200"/>
        <w:rPr>
          <w:rFonts w:ascii="宋体" w:hAnsi="宋体"/>
          <w:sz w:val="24"/>
          <w:szCs w:val="24"/>
        </w:rPr>
      </w:pPr>
      <w:r>
        <w:rPr>
          <w:rFonts w:hint="eastAsia" w:ascii="宋体" w:hAnsi="宋体"/>
          <w:sz w:val="24"/>
          <w:szCs w:val="24"/>
        </w:rPr>
        <w:t>等级测评结论形成：在测评结果汇总的基础上，找出系统保护现状与等级保护基本要求之间的差距，并形成等级测评结论。</w:t>
      </w:r>
    </w:p>
    <w:p>
      <w:pPr>
        <w:spacing w:line="380" w:lineRule="exact"/>
        <w:ind w:firstLine="480" w:firstLineChars="200"/>
        <w:rPr>
          <w:rFonts w:ascii="宋体" w:hAnsi="宋体"/>
          <w:sz w:val="24"/>
          <w:szCs w:val="24"/>
        </w:rPr>
      </w:pPr>
      <w:r>
        <w:rPr>
          <w:rFonts w:hint="eastAsia" w:ascii="宋体" w:hAnsi="宋体"/>
          <w:sz w:val="24"/>
          <w:szCs w:val="24"/>
        </w:rPr>
        <w:t>测评报告编制：根据等级测评结论，编制测评报告，包括概述、被测系统描述、测评对象说明、测评指标说明、测评内容和方法说明、单元测评、整体测评、测评结果汇总、风险分析和评价、等级测评结论、整改建议等。</w:t>
      </w:r>
    </w:p>
    <w:p>
      <w:pPr>
        <w:spacing w:line="380" w:lineRule="exact"/>
        <w:ind w:firstLine="480" w:firstLineChars="200"/>
        <w:rPr>
          <w:rFonts w:ascii="宋体" w:hAnsi="宋体"/>
          <w:sz w:val="24"/>
          <w:szCs w:val="24"/>
        </w:rPr>
      </w:pPr>
      <w:r>
        <w:rPr>
          <w:rFonts w:hint="eastAsia" w:ascii="宋体" w:hAnsi="宋体"/>
          <w:sz w:val="24"/>
          <w:szCs w:val="24"/>
        </w:rPr>
        <w:t>输出文档：《等级测评报告》。</w:t>
      </w:r>
    </w:p>
    <w:p>
      <w:pPr>
        <w:spacing w:line="380" w:lineRule="exact"/>
        <w:ind w:firstLine="480" w:firstLineChars="200"/>
        <w:rPr>
          <w:rFonts w:ascii="宋体" w:hAnsi="宋体"/>
          <w:b/>
          <w:bCs/>
          <w:sz w:val="24"/>
          <w:szCs w:val="24"/>
        </w:rPr>
      </w:pPr>
      <w:bookmarkStart w:id="16" w:name="_Toc12836"/>
      <w:r>
        <w:rPr>
          <w:rFonts w:hint="eastAsia" w:ascii="宋体" w:hAnsi="宋体"/>
          <w:b/>
          <w:bCs/>
          <w:sz w:val="24"/>
          <w:szCs w:val="24"/>
        </w:rPr>
        <w:t>3.5交付成果</w:t>
      </w:r>
      <w:bookmarkEnd w:id="16"/>
    </w:p>
    <w:p>
      <w:pPr>
        <w:spacing w:line="380" w:lineRule="exact"/>
        <w:ind w:firstLine="480" w:firstLineChars="200"/>
        <w:rPr>
          <w:rFonts w:ascii="宋体" w:hAnsi="宋体"/>
          <w:sz w:val="24"/>
          <w:szCs w:val="24"/>
        </w:rPr>
      </w:pPr>
      <w:r>
        <w:rPr>
          <w:rFonts w:hint="eastAsia" w:ascii="宋体" w:hAnsi="宋体"/>
          <w:sz w:val="24"/>
          <w:szCs w:val="24"/>
        </w:rPr>
        <w:t>本项目输出的主要工作产品中，交付给采购单位的主要有：</w:t>
      </w:r>
    </w:p>
    <w:tbl>
      <w:tblPr>
        <w:tblStyle w:val="18"/>
        <w:tblpPr w:leftFromText="180" w:rightFromText="180" w:vertAnchor="text" w:horzAnchor="page" w:tblpX="2015" w:tblpY="8"/>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60"/>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30" w:type="dxa"/>
            <w:shd w:val="clear" w:color="auto" w:fill="F1F1F1"/>
            <w:vAlign w:val="center"/>
          </w:tcPr>
          <w:p>
            <w:pPr>
              <w:spacing w:line="380" w:lineRule="exact"/>
              <w:ind w:firstLine="480" w:firstLineChars="200"/>
              <w:rPr>
                <w:rFonts w:ascii="宋体" w:hAnsi="宋体"/>
                <w:sz w:val="24"/>
                <w:szCs w:val="24"/>
              </w:rPr>
            </w:pPr>
            <w:r>
              <w:rPr>
                <w:rFonts w:hint="eastAsia" w:ascii="宋体" w:hAnsi="宋体"/>
                <w:sz w:val="24"/>
                <w:szCs w:val="24"/>
              </w:rPr>
              <w:t>阶段名称</w:t>
            </w:r>
          </w:p>
        </w:tc>
        <w:tc>
          <w:tcPr>
            <w:tcW w:w="3360" w:type="dxa"/>
            <w:shd w:val="clear" w:color="auto" w:fill="F1F1F1"/>
            <w:vAlign w:val="center"/>
          </w:tcPr>
          <w:p>
            <w:pPr>
              <w:spacing w:line="380" w:lineRule="exact"/>
              <w:ind w:firstLine="480" w:firstLineChars="200"/>
              <w:rPr>
                <w:rFonts w:ascii="宋体" w:hAnsi="宋体"/>
                <w:sz w:val="24"/>
                <w:szCs w:val="24"/>
              </w:rPr>
            </w:pPr>
            <w:r>
              <w:rPr>
                <w:rFonts w:hint="eastAsia" w:ascii="宋体" w:hAnsi="宋体"/>
                <w:sz w:val="24"/>
                <w:szCs w:val="24"/>
              </w:rPr>
              <w:t>任务名称</w:t>
            </w:r>
          </w:p>
        </w:tc>
        <w:tc>
          <w:tcPr>
            <w:tcW w:w="2710" w:type="dxa"/>
            <w:shd w:val="clear" w:color="auto" w:fill="F1F1F1"/>
            <w:vAlign w:val="center"/>
          </w:tcPr>
          <w:p>
            <w:pPr>
              <w:spacing w:line="380" w:lineRule="exact"/>
              <w:ind w:firstLine="480" w:firstLineChars="200"/>
              <w:rPr>
                <w:rFonts w:ascii="宋体" w:hAnsi="宋体"/>
                <w:sz w:val="24"/>
                <w:szCs w:val="24"/>
              </w:rPr>
            </w:pPr>
            <w:r>
              <w:rPr>
                <w:rFonts w:hint="eastAsia" w:ascii="宋体" w:hAnsi="宋体"/>
                <w:sz w:val="24"/>
                <w:szCs w:val="24"/>
              </w:rPr>
              <w:t>输出文档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2330" w:type="dxa"/>
            <w:vMerge w:val="restart"/>
            <w:vAlign w:val="center"/>
          </w:tcPr>
          <w:p>
            <w:pPr>
              <w:spacing w:line="380" w:lineRule="exact"/>
              <w:ind w:firstLine="480" w:firstLineChars="200"/>
              <w:rPr>
                <w:rFonts w:ascii="宋体" w:hAnsi="宋体"/>
                <w:sz w:val="24"/>
                <w:szCs w:val="24"/>
              </w:rPr>
            </w:pPr>
            <w:r>
              <w:rPr>
                <w:rFonts w:hint="eastAsia" w:ascii="宋体" w:hAnsi="宋体"/>
                <w:sz w:val="24"/>
                <w:szCs w:val="24"/>
              </w:rPr>
              <w:t>准备阶段</w:t>
            </w:r>
          </w:p>
        </w:tc>
        <w:tc>
          <w:tcPr>
            <w:tcW w:w="3360" w:type="dxa"/>
            <w:vAlign w:val="center"/>
          </w:tcPr>
          <w:p>
            <w:pPr>
              <w:spacing w:line="380" w:lineRule="exact"/>
              <w:ind w:firstLine="480" w:firstLineChars="200"/>
              <w:rPr>
                <w:rFonts w:ascii="宋体" w:hAnsi="宋体"/>
                <w:sz w:val="24"/>
                <w:szCs w:val="24"/>
              </w:rPr>
            </w:pPr>
            <w:r>
              <w:rPr>
                <w:rFonts w:hint="eastAsia" w:ascii="宋体" w:hAnsi="宋体"/>
                <w:sz w:val="24"/>
                <w:szCs w:val="24"/>
              </w:rPr>
              <w:t>项目计划</w:t>
            </w:r>
          </w:p>
        </w:tc>
        <w:tc>
          <w:tcPr>
            <w:tcW w:w="2710" w:type="dxa"/>
            <w:vAlign w:val="center"/>
          </w:tcPr>
          <w:p>
            <w:pPr>
              <w:spacing w:line="380" w:lineRule="exact"/>
              <w:ind w:firstLine="480" w:firstLineChars="200"/>
              <w:rPr>
                <w:rFonts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2330" w:type="dxa"/>
            <w:vMerge w:val="continue"/>
            <w:vAlign w:val="center"/>
          </w:tcPr>
          <w:p>
            <w:pPr>
              <w:spacing w:line="380" w:lineRule="exact"/>
              <w:ind w:firstLine="480" w:firstLineChars="200"/>
              <w:rPr>
                <w:rFonts w:ascii="宋体" w:hAnsi="宋体"/>
                <w:sz w:val="24"/>
                <w:szCs w:val="24"/>
              </w:rPr>
            </w:pPr>
          </w:p>
        </w:tc>
        <w:tc>
          <w:tcPr>
            <w:tcW w:w="3360" w:type="dxa"/>
            <w:vAlign w:val="center"/>
          </w:tcPr>
          <w:p>
            <w:pPr>
              <w:spacing w:line="380" w:lineRule="exact"/>
              <w:ind w:firstLine="480" w:firstLineChars="200"/>
              <w:rPr>
                <w:rFonts w:ascii="宋体" w:hAnsi="宋体"/>
                <w:sz w:val="24"/>
                <w:szCs w:val="24"/>
              </w:rPr>
            </w:pPr>
            <w:r>
              <w:rPr>
                <w:rFonts w:hint="eastAsia" w:ascii="宋体" w:hAnsi="宋体"/>
                <w:sz w:val="24"/>
                <w:szCs w:val="24"/>
              </w:rPr>
              <w:t>系统调研分析</w:t>
            </w:r>
          </w:p>
        </w:tc>
        <w:tc>
          <w:tcPr>
            <w:tcW w:w="2710" w:type="dxa"/>
            <w:vAlign w:val="center"/>
          </w:tcPr>
          <w:p>
            <w:pPr>
              <w:spacing w:line="380" w:lineRule="exact"/>
              <w:ind w:firstLine="480" w:firstLineChars="200"/>
              <w:rPr>
                <w:rFonts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2330" w:type="dxa"/>
            <w:vAlign w:val="center"/>
          </w:tcPr>
          <w:p>
            <w:pPr>
              <w:spacing w:line="380" w:lineRule="exact"/>
              <w:ind w:firstLine="480" w:firstLineChars="200"/>
              <w:rPr>
                <w:rFonts w:ascii="宋体" w:hAnsi="宋体"/>
                <w:sz w:val="24"/>
                <w:szCs w:val="24"/>
              </w:rPr>
            </w:pPr>
            <w:r>
              <w:rPr>
                <w:rFonts w:hint="eastAsia" w:ascii="宋体" w:hAnsi="宋体"/>
                <w:sz w:val="24"/>
                <w:szCs w:val="24"/>
              </w:rPr>
              <w:t>方案编制阶段</w:t>
            </w:r>
          </w:p>
        </w:tc>
        <w:tc>
          <w:tcPr>
            <w:tcW w:w="3360" w:type="dxa"/>
            <w:vAlign w:val="center"/>
          </w:tcPr>
          <w:p>
            <w:pPr>
              <w:spacing w:line="380" w:lineRule="exact"/>
              <w:ind w:firstLine="480" w:firstLineChars="200"/>
              <w:rPr>
                <w:rFonts w:ascii="宋体" w:hAnsi="宋体"/>
                <w:sz w:val="24"/>
                <w:szCs w:val="24"/>
              </w:rPr>
            </w:pPr>
            <w:r>
              <w:rPr>
                <w:rFonts w:hint="eastAsia" w:ascii="宋体" w:hAnsi="宋体"/>
                <w:sz w:val="24"/>
                <w:szCs w:val="24"/>
              </w:rPr>
              <w:t>测评方案制定与确认</w:t>
            </w:r>
          </w:p>
        </w:tc>
        <w:tc>
          <w:tcPr>
            <w:tcW w:w="2710" w:type="dxa"/>
            <w:vAlign w:val="center"/>
          </w:tcPr>
          <w:p>
            <w:pPr>
              <w:spacing w:line="380" w:lineRule="exact"/>
              <w:ind w:firstLine="480" w:firstLineChars="200"/>
              <w:rPr>
                <w:rFonts w:ascii="宋体" w:hAnsi="宋体"/>
                <w:sz w:val="24"/>
                <w:szCs w:val="24"/>
              </w:rPr>
            </w:pPr>
            <w:r>
              <w:rPr>
                <w:rFonts w:hint="eastAsia" w:ascii="宋体" w:hAnsi="宋体"/>
                <w:sz w:val="24"/>
                <w:szCs w:val="24"/>
              </w:rPr>
              <w:t>测评方案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2330" w:type="dxa"/>
            <w:vMerge w:val="restart"/>
            <w:vAlign w:val="center"/>
          </w:tcPr>
          <w:p>
            <w:pPr>
              <w:spacing w:line="380" w:lineRule="exact"/>
              <w:ind w:firstLine="480" w:firstLineChars="200"/>
              <w:rPr>
                <w:rFonts w:ascii="宋体" w:hAnsi="宋体"/>
                <w:sz w:val="24"/>
                <w:szCs w:val="24"/>
              </w:rPr>
            </w:pPr>
            <w:r>
              <w:rPr>
                <w:rFonts w:hint="eastAsia" w:ascii="宋体" w:hAnsi="宋体"/>
                <w:sz w:val="24"/>
                <w:szCs w:val="24"/>
              </w:rPr>
              <w:t>测评阶段</w:t>
            </w:r>
          </w:p>
        </w:tc>
        <w:tc>
          <w:tcPr>
            <w:tcW w:w="3360" w:type="dxa"/>
            <w:vAlign w:val="center"/>
          </w:tcPr>
          <w:p>
            <w:pPr>
              <w:spacing w:line="380" w:lineRule="exact"/>
              <w:ind w:firstLine="480" w:firstLineChars="200"/>
              <w:rPr>
                <w:rFonts w:ascii="宋体" w:hAnsi="宋体"/>
                <w:sz w:val="24"/>
                <w:szCs w:val="24"/>
              </w:rPr>
            </w:pPr>
            <w:r>
              <w:rPr>
                <w:rFonts w:hint="eastAsia" w:ascii="宋体" w:hAnsi="宋体"/>
                <w:sz w:val="24"/>
                <w:szCs w:val="24"/>
              </w:rPr>
              <w:t>现场实施</w:t>
            </w:r>
          </w:p>
        </w:tc>
        <w:tc>
          <w:tcPr>
            <w:tcW w:w="2710" w:type="dxa"/>
            <w:vMerge w:val="restart"/>
            <w:vAlign w:val="center"/>
          </w:tcPr>
          <w:p>
            <w:pPr>
              <w:spacing w:line="380" w:lineRule="exact"/>
              <w:ind w:firstLine="480" w:firstLineChars="200"/>
              <w:rPr>
                <w:rFonts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2330" w:type="dxa"/>
            <w:vMerge w:val="continue"/>
            <w:vAlign w:val="center"/>
          </w:tcPr>
          <w:p>
            <w:pPr>
              <w:spacing w:line="380" w:lineRule="exact"/>
              <w:ind w:firstLine="480" w:firstLineChars="200"/>
              <w:rPr>
                <w:rFonts w:ascii="宋体" w:hAnsi="宋体"/>
                <w:sz w:val="24"/>
                <w:szCs w:val="24"/>
              </w:rPr>
            </w:pPr>
          </w:p>
        </w:tc>
        <w:tc>
          <w:tcPr>
            <w:tcW w:w="3360" w:type="dxa"/>
            <w:vAlign w:val="center"/>
          </w:tcPr>
          <w:p>
            <w:pPr>
              <w:spacing w:line="380" w:lineRule="exact"/>
              <w:ind w:firstLine="480" w:firstLineChars="200"/>
              <w:rPr>
                <w:rFonts w:ascii="宋体" w:hAnsi="宋体"/>
                <w:sz w:val="24"/>
                <w:szCs w:val="24"/>
              </w:rPr>
            </w:pPr>
            <w:r>
              <w:rPr>
                <w:rFonts w:hint="eastAsia" w:ascii="宋体" w:hAnsi="宋体"/>
                <w:sz w:val="24"/>
                <w:szCs w:val="24"/>
              </w:rPr>
              <w:t>整改复核</w:t>
            </w:r>
          </w:p>
        </w:tc>
        <w:tc>
          <w:tcPr>
            <w:tcW w:w="2710" w:type="dxa"/>
            <w:vMerge w:val="continue"/>
            <w:vAlign w:val="center"/>
          </w:tcPr>
          <w:p>
            <w:pPr>
              <w:spacing w:line="38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30" w:type="dxa"/>
            <w:vAlign w:val="center"/>
          </w:tcPr>
          <w:p>
            <w:pPr>
              <w:spacing w:line="380" w:lineRule="exact"/>
              <w:ind w:firstLine="480" w:firstLineChars="200"/>
              <w:rPr>
                <w:rFonts w:ascii="宋体" w:hAnsi="宋体"/>
                <w:sz w:val="24"/>
                <w:szCs w:val="24"/>
              </w:rPr>
            </w:pPr>
            <w:r>
              <w:rPr>
                <w:rFonts w:hint="eastAsia" w:ascii="宋体" w:hAnsi="宋体"/>
                <w:sz w:val="24"/>
                <w:szCs w:val="24"/>
              </w:rPr>
              <w:t>报告编制阶段</w:t>
            </w:r>
          </w:p>
        </w:tc>
        <w:tc>
          <w:tcPr>
            <w:tcW w:w="3360" w:type="dxa"/>
            <w:vAlign w:val="center"/>
          </w:tcPr>
          <w:p>
            <w:pPr>
              <w:spacing w:line="380" w:lineRule="exact"/>
              <w:ind w:firstLine="480" w:firstLineChars="200"/>
              <w:rPr>
                <w:rFonts w:ascii="宋体" w:hAnsi="宋体"/>
                <w:sz w:val="24"/>
                <w:szCs w:val="24"/>
              </w:rPr>
            </w:pPr>
            <w:r>
              <w:rPr>
                <w:rFonts w:hint="eastAsia" w:ascii="宋体" w:hAnsi="宋体"/>
                <w:sz w:val="24"/>
                <w:szCs w:val="24"/>
              </w:rPr>
              <w:t>测评报告的编制与评审</w:t>
            </w:r>
          </w:p>
        </w:tc>
        <w:tc>
          <w:tcPr>
            <w:tcW w:w="2710" w:type="dxa"/>
            <w:vAlign w:val="center"/>
          </w:tcPr>
          <w:p>
            <w:pPr>
              <w:spacing w:line="380" w:lineRule="exact"/>
              <w:ind w:firstLine="480" w:firstLineChars="200"/>
              <w:rPr>
                <w:rFonts w:ascii="宋体" w:hAnsi="宋体"/>
                <w:sz w:val="24"/>
                <w:szCs w:val="24"/>
              </w:rPr>
            </w:pPr>
            <w:r>
              <w:rPr>
                <w:rFonts w:hint="eastAsia" w:ascii="宋体" w:hAnsi="宋体"/>
                <w:sz w:val="24"/>
                <w:szCs w:val="24"/>
              </w:rPr>
              <w:t>等级保护测评报告</w:t>
            </w:r>
          </w:p>
        </w:tc>
      </w:tr>
    </w:tbl>
    <w:p>
      <w:pPr>
        <w:spacing w:line="380" w:lineRule="exact"/>
        <w:ind w:firstLine="480" w:firstLineChars="200"/>
        <w:rPr>
          <w:rFonts w:ascii="宋体" w:hAnsi="宋体"/>
          <w:b/>
          <w:bCs/>
          <w:sz w:val="24"/>
          <w:szCs w:val="24"/>
        </w:rPr>
      </w:pPr>
      <w:bookmarkStart w:id="17" w:name="_Toc23843"/>
      <w:r>
        <w:rPr>
          <w:rFonts w:hint="eastAsia" w:ascii="宋体" w:hAnsi="宋体"/>
          <w:b/>
          <w:bCs/>
          <w:sz w:val="24"/>
          <w:szCs w:val="24"/>
        </w:rPr>
        <w:t>4.项目管理</w:t>
      </w:r>
      <w:bookmarkEnd w:id="17"/>
    </w:p>
    <w:p>
      <w:pPr>
        <w:spacing w:line="380" w:lineRule="exact"/>
        <w:ind w:firstLine="480" w:firstLineChars="200"/>
        <w:rPr>
          <w:rFonts w:ascii="宋体" w:hAnsi="宋体"/>
          <w:sz w:val="24"/>
          <w:szCs w:val="24"/>
        </w:rPr>
      </w:pPr>
      <w:r>
        <w:rPr>
          <w:rFonts w:hint="eastAsia" w:ascii="宋体" w:hAnsi="宋体"/>
          <w:sz w:val="24"/>
          <w:szCs w:val="24"/>
        </w:rPr>
        <w:t>为确保本项目顺利开展，要求测评机构结合本项目实际，组建适宜项目组，负责项目的具体推动落实。</w:t>
      </w:r>
    </w:p>
    <w:p>
      <w:pPr>
        <w:spacing w:line="380" w:lineRule="exact"/>
        <w:ind w:firstLine="480" w:firstLineChars="200"/>
        <w:rPr>
          <w:rFonts w:ascii="宋体" w:hAnsi="宋体"/>
          <w:b/>
          <w:bCs/>
          <w:sz w:val="24"/>
          <w:szCs w:val="24"/>
        </w:rPr>
      </w:pPr>
      <w:bookmarkStart w:id="18" w:name="_Toc7686"/>
      <w:r>
        <w:rPr>
          <w:rFonts w:hint="eastAsia" w:ascii="宋体" w:hAnsi="宋体"/>
          <w:b/>
          <w:bCs/>
          <w:sz w:val="24"/>
          <w:szCs w:val="24"/>
        </w:rPr>
        <w:t>4.1人员要求</w:t>
      </w:r>
      <w:bookmarkEnd w:id="18"/>
    </w:p>
    <w:p>
      <w:pPr>
        <w:pStyle w:val="2"/>
        <w:ind w:firstLine="480" w:firstLineChars="200"/>
        <w:rPr>
          <w:rFonts w:ascii="宋体" w:hAnsi="宋体"/>
          <w:sz w:val="24"/>
          <w:highlight w:val="yellow"/>
        </w:rPr>
      </w:pPr>
      <w:r>
        <w:rPr>
          <w:rFonts w:hint="eastAsia" w:ascii="宋体" w:hAnsi="宋体"/>
          <w:sz w:val="24"/>
          <w:highlight w:val="yellow"/>
        </w:rPr>
        <w:t>成交供应商为本项目配备的项目组成员</w:t>
      </w:r>
      <w:r>
        <w:rPr>
          <w:rFonts w:hint="eastAsia" w:ascii="宋体" w:hAnsi="宋体" w:cs="宋体"/>
          <w:b/>
          <w:bCs/>
          <w:color w:val="FF0000"/>
          <w:kern w:val="0"/>
          <w:sz w:val="24"/>
          <w:highlight w:val="yellow"/>
        </w:rPr>
        <w:t>不少于</w:t>
      </w:r>
      <w:r>
        <w:rPr>
          <w:rFonts w:hint="eastAsia" w:ascii="宋体" w:hAnsi="宋体" w:cs="宋体"/>
          <w:b/>
          <w:bCs/>
          <w:color w:val="FF0000"/>
          <w:kern w:val="0"/>
          <w:sz w:val="24"/>
          <w:highlight w:val="yellow"/>
          <w:lang w:val="en-US" w:eastAsia="zh-CN"/>
        </w:rPr>
        <w:t>3</w:t>
      </w:r>
      <w:r>
        <w:rPr>
          <w:rFonts w:hint="eastAsia" w:ascii="宋体" w:hAnsi="宋体" w:cs="宋体"/>
          <w:b/>
          <w:bCs/>
          <w:color w:val="FF0000"/>
          <w:kern w:val="0"/>
          <w:sz w:val="24"/>
          <w:highlight w:val="yellow"/>
        </w:rPr>
        <w:t>名</w:t>
      </w:r>
      <w:r>
        <w:rPr>
          <w:rFonts w:hint="eastAsia" w:ascii="宋体" w:hAnsi="宋体"/>
          <w:sz w:val="24"/>
          <w:highlight w:val="yellow"/>
        </w:rPr>
        <w:t>，项目组成员应与响应文件中配备人员一致，未经采购人同意，中途不得更换。</w:t>
      </w:r>
    </w:p>
    <w:p>
      <w:pPr>
        <w:spacing w:line="380" w:lineRule="exact"/>
        <w:ind w:firstLine="480" w:firstLineChars="200"/>
        <w:rPr>
          <w:rFonts w:ascii="宋体" w:hAnsi="宋体"/>
          <w:b/>
          <w:bCs/>
          <w:sz w:val="24"/>
          <w:szCs w:val="24"/>
        </w:rPr>
      </w:pPr>
      <w:bookmarkStart w:id="19" w:name="_Toc31658"/>
      <w:r>
        <w:rPr>
          <w:rFonts w:hint="eastAsia" w:ascii="宋体" w:hAnsi="宋体"/>
          <w:b/>
          <w:bCs/>
          <w:sz w:val="24"/>
          <w:szCs w:val="24"/>
        </w:rPr>
        <w:t>4.2质量要求</w:t>
      </w:r>
      <w:bookmarkEnd w:id="19"/>
    </w:p>
    <w:p>
      <w:pPr>
        <w:spacing w:line="380" w:lineRule="exact"/>
        <w:ind w:firstLine="480" w:firstLineChars="200"/>
        <w:rPr>
          <w:rFonts w:ascii="宋体" w:hAnsi="宋体"/>
          <w:sz w:val="24"/>
          <w:szCs w:val="24"/>
        </w:rPr>
      </w:pPr>
      <w:r>
        <w:rPr>
          <w:rFonts w:hint="eastAsia" w:ascii="宋体" w:hAnsi="宋体"/>
          <w:sz w:val="24"/>
          <w:szCs w:val="24"/>
        </w:rPr>
        <w:t>测评机构应具有运行良好的质量管理体系，同时为本项目配备质量经理，加强项目测评过程中的质量管理控制，确保项目按照相关标准实施。</w:t>
      </w:r>
    </w:p>
    <w:p>
      <w:pPr>
        <w:spacing w:line="380" w:lineRule="exact"/>
        <w:ind w:firstLine="480" w:firstLineChars="200"/>
        <w:rPr>
          <w:rFonts w:ascii="宋体" w:hAnsi="宋体"/>
          <w:sz w:val="24"/>
          <w:szCs w:val="24"/>
        </w:rPr>
      </w:pPr>
      <w:r>
        <w:rPr>
          <w:rFonts w:hint="eastAsia" w:ascii="宋体" w:hAnsi="宋体"/>
          <w:sz w:val="24"/>
          <w:szCs w:val="24"/>
        </w:rPr>
        <w:t>配备的质量经理应具有丰富管理经验及管理能力。</w:t>
      </w:r>
    </w:p>
    <w:p>
      <w:pPr>
        <w:spacing w:line="380" w:lineRule="exact"/>
        <w:ind w:firstLine="480" w:firstLineChars="200"/>
        <w:rPr>
          <w:rFonts w:ascii="宋体" w:hAnsi="宋体"/>
          <w:b/>
          <w:bCs/>
          <w:sz w:val="24"/>
          <w:szCs w:val="24"/>
        </w:rPr>
      </w:pPr>
      <w:bookmarkStart w:id="20" w:name="_Toc4101"/>
      <w:r>
        <w:rPr>
          <w:rFonts w:hint="eastAsia" w:ascii="宋体" w:hAnsi="宋体"/>
          <w:b/>
          <w:bCs/>
          <w:sz w:val="24"/>
          <w:szCs w:val="24"/>
        </w:rPr>
        <w:t>4.3进度要求</w:t>
      </w:r>
      <w:bookmarkEnd w:id="20"/>
    </w:p>
    <w:p>
      <w:pPr>
        <w:spacing w:line="380" w:lineRule="exact"/>
        <w:ind w:firstLine="480" w:firstLineChars="200"/>
        <w:rPr>
          <w:rFonts w:ascii="宋体" w:hAnsi="宋体"/>
          <w:sz w:val="24"/>
          <w:szCs w:val="24"/>
          <w:highlight w:val="yellow"/>
        </w:rPr>
      </w:pPr>
      <w:r>
        <w:rPr>
          <w:rFonts w:hint="eastAsia" w:ascii="宋体" w:hAnsi="宋体"/>
          <w:sz w:val="24"/>
          <w:szCs w:val="24"/>
          <w:highlight w:val="yellow"/>
        </w:rPr>
        <w:t>成交供应商自合同签订之日起15日内完成测评工作，提交测评报告并通过验收。</w:t>
      </w:r>
    </w:p>
    <w:p>
      <w:pPr>
        <w:spacing w:line="380" w:lineRule="exact"/>
        <w:ind w:firstLine="480" w:firstLineChars="200"/>
        <w:rPr>
          <w:rFonts w:ascii="宋体" w:hAnsi="宋体"/>
          <w:b/>
          <w:bCs/>
          <w:sz w:val="24"/>
          <w:szCs w:val="24"/>
        </w:rPr>
      </w:pPr>
      <w:bookmarkStart w:id="21" w:name="_Toc24721"/>
      <w:r>
        <w:rPr>
          <w:rFonts w:hint="eastAsia" w:ascii="宋体" w:hAnsi="宋体"/>
          <w:b/>
          <w:bCs/>
          <w:sz w:val="24"/>
          <w:szCs w:val="24"/>
        </w:rPr>
        <w:t>4.4风险控制</w:t>
      </w:r>
      <w:bookmarkEnd w:id="21"/>
    </w:p>
    <w:p>
      <w:pPr>
        <w:spacing w:line="380" w:lineRule="exact"/>
        <w:ind w:firstLine="480" w:firstLineChars="200"/>
        <w:rPr>
          <w:rFonts w:ascii="宋体" w:hAnsi="宋体"/>
          <w:sz w:val="24"/>
          <w:szCs w:val="24"/>
        </w:rPr>
      </w:pPr>
      <w:r>
        <w:rPr>
          <w:rFonts w:hint="eastAsia" w:ascii="宋体" w:hAnsi="宋体"/>
          <w:sz w:val="24"/>
          <w:szCs w:val="24"/>
        </w:rPr>
        <w:t>测评机构应具有良好的保密机制，确保测评过程获悉的相关资料不被泄露。此外，为确保测评过程的风险可控，测评机构应针对测评过程可能出现的风险，编制风险规避措施，将可能的损失降到最低。</w:t>
      </w:r>
    </w:p>
    <w:p>
      <w:pPr>
        <w:spacing w:line="380" w:lineRule="exact"/>
        <w:ind w:firstLine="480" w:firstLineChars="200"/>
        <w:rPr>
          <w:rFonts w:ascii="宋体" w:hAnsi="宋体"/>
          <w:b/>
          <w:bCs/>
          <w:sz w:val="24"/>
          <w:szCs w:val="24"/>
        </w:rPr>
      </w:pPr>
      <w:bookmarkStart w:id="22" w:name="_Toc17863"/>
      <w:r>
        <w:rPr>
          <w:rFonts w:hint="eastAsia" w:ascii="宋体" w:hAnsi="宋体"/>
          <w:b/>
          <w:bCs/>
          <w:sz w:val="24"/>
          <w:szCs w:val="24"/>
        </w:rPr>
        <w:t>4.5测评工具</w:t>
      </w:r>
      <w:bookmarkEnd w:id="22"/>
    </w:p>
    <w:p>
      <w:pPr>
        <w:spacing w:line="380" w:lineRule="exact"/>
        <w:ind w:firstLine="480" w:firstLineChars="200"/>
        <w:rPr>
          <w:rFonts w:ascii="宋体" w:hAnsi="宋体"/>
          <w:sz w:val="24"/>
          <w:szCs w:val="24"/>
        </w:rPr>
      </w:pPr>
      <w:r>
        <w:rPr>
          <w:rFonts w:hint="eastAsia" w:ascii="宋体" w:hAnsi="宋体"/>
          <w:sz w:val="24"/>
          <w:szCs w:val="24"/>
        </w:rPr>
        <w:t>本次测评过程中使用的测评工具需满足三级系统等级保护测评所需，至少包括系统漏洞检查工具、网站安全检查工具、主机病毒检查工具、主机木马检查工具等工具。优先选择经公安部门认可推荐的测评工具。</w:t>
      </w:r>
    </w:p>
    <w:p>
      <w:pPr>
        <w:spacing w:line="380" w:lineRule="exact"/>
        <w:ind w:firstLine="480" w:firstLineChars="200"/>
        <w:rPr>
          <w:rFonts w:ascii="宋体" w:hAnsi="宋体"/>
          <w:sz w:val="24"/>
          <w:szCs w:val="24"/>
        </w:rPr>
      </w:pPr>
      <w:r>
        <w:rPr>
          <w:rFonts w:hint="eastAsia" w:ascii="宋体" w:hAnsi="宋体"/>
          <w:sz w:val="24"/>
          <w:szCs w:val="24"/>
        </w:rPr>
        <w:t>工具接入系统前，需经被测单位认可同意后，方可接入系统。</w:t>
      </w:r>
    </w:p>
    <w:p>
      <w:pPr>
        <w:spacing w:line="380" w:lineRule="exact"/>
        <w:ind w:firstLine="480" w:firstLineChars="200"/>
        <w:rPr>
          <w:rFonts w:ascii="宋体" w:hAnsi="宋体"/>
          <w:b/>
          <w:bCs/>
          <w:sz w:val="24"/>
          <w:szCs w:val="24"/>
        </w:rPr>
      </w:pPr>
      <w:bookmarkStart w:id="23" w:name="_Toc29796"/>
      <w:r>
        <w:rPr>
          <w:rFonts w:hint="eastAsia" w:ascii="宋体" w:hAnsi="宋体"/>
          <w:b/>
          <w:bCs/>
          <w:sz w:val="24"/>
          <w:szCs w:val="24"/>
          <w:lang w:val="en-US" w:eastAsia="zh-CN"/>
        </w:rPr>
        <w:t>5</w:t>
      </w:r>
      <w:r>
        <w:rPr>
          <w:rFonts w:hint="eastAsia" w:ascii="宋体" w:hAnsi="宋体"/>
          <w:b/>
          <w:bCs/>
          <w:sz w:val="24"/>
          <w:szCs w:val="24"/>
        </w:rPr>
        <w:t>.项目验收</w:t>
      </w:r>
      <w:bookmarkEnd w:id="23"/>
    </w:p>
    <w:p>
      <w:pPr>
        <w:spacing w:line="380" w:lineRule="exact"/>
        <w:ind w:firstLine="480" w:firstLineChars="200"/>
        <w:rPr>
          <w:rFonts w:ascii="宋体" w:hAnsi="宋体"/>
          <w:sz w:val="24"/>
          <w:szCs w:val="24"/>
        </w:rPr>
      </w:pPr>
      <w:r>
        <w:rPr>
          <w:rFonts w:hint="eastAsia" w:ascii="宋体" w:hAnsi="宋体"/>
          <w:sz w:val="24"/>
          <w:szCs w:val="24"/>
        </w:rPr>
        <w:t>完成</w:t>
      </w:r>
      <w:r>
        <w:rPr>
          <w:rFonts w:hint="eastAsia" w:ascii="宋体" w:hAnsi="宋体"/>
          <w:sz w:val="24"/>
          <w:szCs w:val="24"/>
          <w:lang w:eastAsia="zh-CN"/>
        </w:rPr>
        <w:t>信息系统三级等级保护</w:t>
      </w:r>
      <w:r>
        <w:rPr>
          <w:rFonts w:hint="eastAsia" w:ascii="宋体" w:hAnsi="宋体"/>
          <w:sz w:val="24"/>
          <w:szCs w:val="24"/>
        </w:rPr>
        <w:t>测评工作，测评单位出具</w:t>
      </w:r>
      <w:r>
        <w:rPr>
          <w:rFonts w:hint="eastAsia" w:ascii="宋体" w:hAnsi="宋体"/>
          <w:sz w:val="24"/>
          <w:szCs w:val="24"/>
          <w:highlight w:val="yellow"/>
          <w:lang w:val="en-US" w:eastAsia="zh-CN"/>
        </w:rPr>
        <w:t>马鞍山市中</w:t>
      </w:r>
      <w:r>
        <w:rPr>
          <w:rFonts w:hint="eastAsia" w:ascii="宋体" w:hAnsi="宋体"/>
          <w:sz w:val="24"/>
          <w:szCs w:val="24"/>
          <w:highlight w:val="yellow"/>
        </w:rPr>
        <w:t>医院综合医疗管理系统</w:t>
      </w:r>
      <w:r>
        <w:rPr>
          <w:rFonts w:hint="eastAsia" w:ascii="宋体" w:hAnsi="宋体"/>
          <w:sz w:val="24"/>
          <w:szCs w:val="24"/>
          <w:highlight w:val="yellow"/>
          <w:lang w:eastAsia="zh-CN"/>
        </w:rPr>
        <w:t>、</w:t>
      </w:r>
      <w:r>
        <w:rPr>
          <w:rFonts w:hint="eastAsia" w:ascii="宋体" w:hAnsi="宋体"/>
          <w:sz w:val="24"/>
          <w:szCs w:val="24"/>
          <w:highlight w:val="yellow"/>
        </w:rPr>
        <w:t>互联网医院综合医疗运营管理平台</w:t>
      </w:r>
      <w:r>
        <w:rPr>
          <w:rFonts w:hint="eastAsia" w:ascii="宋体" w:hAnsi="宋体"/>
          <w:sz w:val="24"/>
          <w:szCs w:val="24"/>
          <w:highlight w:val="yellow"/>
          <w:lang w:val="en-US" w:eastAsia="zh-CN"/>
        </w:rPr>
        <w:t>评测</w:t>
      </w:r>
      <w:r>
        <w:rPr>
          <w:rFonts w:hint="eastAsia" w:ascii="宋体" w:hAnsi="宋体"/>
          <w:sz w:val="24"/>
          <w:szCs w:val="24"/>
          <w:highlight w:val="yellow"/>
        </w:rPr>
        <w:t>报告</w:t>
      </w:r>
      <w:r>
        <w:rPr>
          <w:rFonts w:hint="eastAsia" w:ascii="宋体" w:hAnsi="宋体"/>
          <w:sz w:val="24"/>
          <w:szCs w:val="24"/>
        </w:rPr>
        <w:t>后，由采购人确认并验收。</w:t>
      </w:r>
    </w:p>
    <w:p>
      <w:pPr>
        <w:spacing w:line="380" w:lineRule="exact"/>
        <w:ind w:firstLine="480" w:firstLineChars="200"/>
        <w:rPr>
          <w:rFonts w:ascii="宋体" w:hAnsi="宋体"/>
          <w:b/>
          <w:bCs/>
          <w:sz w:val="24"/>
          <w:szCs w:val="24"/>
        </w:rPr>
      </w:pPr>
      <w:bookmarkStart w:id="24" w:name="_Toc32493"/>
      <w:r>
        <w:rPr>
          <w:rFonts w:hint="eastAsia" w:ascii="宋体" w:hAnsi="宋体"/>
          <w:b/>
          <w:bCs/>
          <w:sz w:val="24"/>
          <w:szCs w:val="24"/>
          <w:lang w:val="en-US" w:eastAsia="zh-CN"/>
        </w:rPr>
        <w:t>6</w:t>
      </w:r>
      <w:r>
        <w:rPr>
          <w:rFonts w:hint="eastAsia" w:ascii="宋体" w:hAnsi="宋体"/>
          <w:b/>
          <w:bCs/>
          <w:sz w:val="24"/>
          <w:szCs w:val="24"/>
        </w:rPr>
        <w:t>.其他要求</w:t>
      </w:r>
      <w:bookmarkEnd w:id="24"/>
    </w:p>
    <w:p>
      <w:pPr>
        <w:spacing w:line="380" w:lineRule="exact"/>
        <w:ind w:firstLine="480" w:firstLineChars="200"/>
        <w:rPr>
          <w:rFonts w:ascii="宋体" w:hAnsi="宋体"/>
          <w:sz w:val="24"/>
          <w:szCs w:val="24"/>
        </w:rPr>
      </w:pPr>
      <w:r>
        <w:rPr>
          <w:rFonts w:hint="eastAsia" w:ascii="宋体" w:hAnsi="宋体"/>
          <w:sz w:val="24"/>
          <w:szCs w:val="24"/>
        </w:rPr>
        <w:t>（1）本项目总报价包含了履行合同所有内容的全部费用，包括人工费（含社会保险费和住房公积金）、餐费、办公费、交通费、服务费、技术服务费、仪器设备使用费（含耗材）、采购代理服务费、人工费、资料费、打印费、保险费其他费用（如编写费、资料费）以及供应商认为完成本项目所需要的其他费用及所有价内价外税金及合理利润等。</w:t>
      </w:r>
    </w:p>
    <w:p>
      <w:pPr>
        <w:spacing w:line="380" w:lineRule="exact"/>
        <w:ind w:firstLine="480" w:firstLineChars="200"/>
        <w:rPr>
          <w:rFonts w:ascii="宋体" w:hAnsi="宋体"/>
          <w:sz w:val="24"/>
          <w:szCs w:val="24"/>
        </w:rPr>
      </w:pPr>
      <w:r>
        <w:rPr>
          <w:rFonts w:hint="eastAsia" w:ascii="宋体" w:hAnsi="宋体"/>
          <w:sz w:val="24"/>
          <w:szCs w:val="24"/>
        </w:rPr>
        <w:t>（2）成交供应商服务不能满足招标文件要求的，采购人有权解除合同，不予退还履约保证金，并按有关规定进行处理。</w:t>
      </w:r>
    </w:p>
    <w:p>
      <w:pPr>
        <w:spacing w:line="380" w:lineRule="exact"/>
        <w:ind w:firstLine="480" w:firstLineChars="200"/>
        <w:rPr>
          <w:highlight w:val="yellow"/>
        </w:rPr>
      </w:pPr>
      <w:r>
        <w:rPr>
          <w:rFonts w:hint="eastAsia" w:ascii="宋体" w:hAnsi="宋体"/>
          <w:sz w:val="24"/>
          <w:szCs w:val="24"/>
          <w:highlight w:val="yellow"/>
        </w:rPr>
        <w:t>（3）付款方式：成交供应商完成测评并出具</w:t>
      </w:r>
      <w:r>
        <w:rPr>
          <w:rFonts w:hint="eastAsia" w:ascii="宋体" w:hAnsi="宋体"/>
          <w:sz w:val="24"/>
          <w:szCs w:val="24"/>
          <w:highlight w:val="yellow"/>
          <w:lang w:val="en-US" w:eastAsia="zh-CN"/>
        </w:rPr>
        <w:t>马鞍山市中</w:t>
      </w:r>
      <w:r>
        <w:rPr>
          <w:rFonts w:hint="eastAsia" w:ascii="宋体" w:hAnsi="宋体"/>
          <w:sz w:val="24"/>
          <w:szCs w:val="24"/>
          <w:highlight w:val="yellow"/>
        </w:rPr>
        <w:t>医院综合医疗管理系统</w:t>
      </w:r>
      <w:r>
        <w:rPr>
          <w:rFonts w:hint="eastAsia" w:ascii="宋体" w:hAnsi="宋体"/>
          <w:sz w:val="24"/>
          <w:szCs w:val="24"/>
          <w:highlight w:val="yellow"/>
          <w:lang w:eastAsia="zh-CN"/>
        </w:rPr>
        <w:t>、</w:t>
      </w:r>
      <w:r>
        <w:rPr>
          <w:rFonts w:hint="eastAsia" w:ascii="宋体" w:hAnsi="宋体"/>
          <w:sz w:val="24"/>
          <w:szCs w:val="24"/>
          <w:highlight w:val="yellow"/>
        </w:rPr>
        <w:t>互联网医院综合医疗运营管理平台</w:t>
      </w:r>
      <w:r>
        <w:rPr>
          <w:rFonts w:hint="eastAsia" w:ascii="宋体" w:hAnsi="宋体"/>
          <w:sz w:val="24"/>
          <w:szCs w:val="24"/>
          <w:highlight w:val="yellow"/>
          <w:lang w:val="en-US" w:eastAsia="zh-CN"/>
        </w:rPr>
        <w:t>评测</w:t>
      </w:r>
      <w:r>
        <w:rPr>
          <w:rFonts w:hint="eastAsia" w:ascii="宋体" w:hAnsi="宋体"/>
          <w:sz w:val="24"/>
          <w:szCs w:val="24"/>
          <w:highlight w:val="yellow"/>
        </w:rPr>
        <w:t>报告</w:t>
      </w:r>
      <w:r>
        <w:rPr>
          <w:rFonts w:hint="eastAsia" w:ascii="宋体" w:hAnsi="宋体"/>
          <w:sz w:val="24"/>
          <w:szCs w:val="24"/>
          <w:highlight w:val="yellow"/>
          <w:lang w:eastAsia="zh-CN"/>
        </w:rPr>
        <w:t>后</w:t>
      </w:r>
      <w:r>
        <w:rPr>
          <w:rFonts w:hint="eastAsia" w:ascii="宋体" w:hAnsi="宋体"/>
          <w:sz w:val="24"/>
          <w:szCs w:val="24"/>
          <w:highlight w:val="yellow"/>
        </w:rPr>
        <w:t>，采购人在30日</w:t>
      </w:r>
      <w:r>
        <w:rPr>
          <w:rFonts w:hint="eastAsia" w:ascii="宋体" w:hAnsi="宋体"/>
          <w:sz w:val="24"/>
          <w:szCs w:val="24"/>
          <w:highlight w:val="yellow"/>
          <w:lang w:val="en-US" w:eastAsia="zh-CN"/>
        </w:rPr>
        <w:t>内</w:t>
      </w:r>
      <w:r>
        <w:rPr>
          <w:rFonts w:hint="eastAsia" w:ascii="宋体" w:hAnsi="宋体"/>
          <w:sz w:val="24"/>
          <w:szCs w:val="24"/>
          <w:highlight w:val="yellow"/>
          <w:lang w:eastAsia="zh-CN"/>
        </w:rPr>
        <w:t>按合同</w:t>
      </w:r>
      <w:r>
        <w:rPr>
          <w:rFonts w:hint="eastAsia" w:ascii="宋体" w:hAnsi="宋体"/>
          <w:sz w:val="24"/>
          <w:szCs w:val="24"/>
          <w:highlight w:val="yellow"/>
        </w:rPr>
        <w:t>支付</w:t>
      </w:r>
      <w:r>
        <w:rPr>
          <w:rFonts w:hint="eastAsia" w:ascii="宋体" w:hAnsi="宋体"/>
          <w:sz w:val="24"/>
          <w:szCs w:val="24"/>
          <w:highlight w:val="yellow"/>
          <w:lang w:eastAsia="zh-CN"/>
        </w:rPr>
        <w:t>费用</w:t>
      </w:r>
      <w:r>
        <w:rPr>
          <w:rFonts w:hint="eastAsia" w:ascii="宋体" w:hAnsi="宋体"/>
          <w:sz w:val="24"/>
          <w:szCs w:val="24"/>
          <w:highlight w:val="yellow"/>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outlineLvl w:val="0"/>
        <w:rPr>
          <w:rFonts w:hint="eastAsia" w:ascii="楷体_GB2312" w:hAnsi="楷体_GB2312" w:eastAsia="楷体_GB2312" w:cs="楷体_GB2312"/>
          <w:b/>
          <w:color w:val="000000" w:themeColor="text1"/>
          <w:sz w:val="24"/>
          <w:szCs w:val="24"/>
          <w:highlight w:val="none"/>
          <w:lang w:val="en-US" w:eastAsia="zh-CN"/>
        </w:rPr>
      </w:pPr>
      <w:r>
        <w:rPr>
          <w:rFonts w:hint="eastAsia" w:ascii="Times New Roman" w:hAnsi="Times New Roman" w:eastAsia="黑体" w:cs="Times New Roman"/>
          <w:color w:val="000000" w:themeColor="text1"/>
          <w:kern w:val="2"/>
          <w:sz w:val="24"/>
          <w:szCs w:val="24"/>
          <w:lang w:val="en-US" w:eastAsia="zh-CN" w:bidi="ar-SA"/>
        </w:rPr>
        <w:t>三、</w:t>
      </w:r>
      <w:r>
        <w:rPr>
          <w:rFonts w:hint="eastAsia" w:ascii="Times New Roman" w:hAnsi="Times New Roman" w:eastAsia="黑体" w:cs="Times New Roman"/>
          <w:color w:val="000000" w:themeColor="text1"/>
          <w:sz w:val="24"/>
          <w:szCs w:val="24"/>
          <w:highlight w:val="none"/>
          <w:lang w:val="en-US" w:eastAsia="zh-CN"/>
        </w:rPr>
        <w:t>投标人资质要求</w:t>
      </w:r>
    </w:p>
    <w:p>
      <w:pPr>
        <w:spacing w:line="380" w:lineRule="exact"/>
        <w:ind w:firstLine="480" w:firstLineChars="200"/>
        <w:rPr>
          <w:rFonts w:hint="default" w:ascii="宋体" w:hAnsi="宋体"/>
          <w:sz w:val="24"/>
          <w:szCs w:val="24"/>
          <w:highlight w:val="none"/>
          <w:lang w:val="zh-CN" w:eastAsia="zh-CN"/>
        </w:rPr>
      </w:pPr>
      <w:r>
        <w:rPr>
          <w:rFonts w:hint="eastAsia" w:ascii="宋体" w:hAnsi="宋体"/>
          <w:sz w:val="24"/>
          <w:szCs w:val="24"/>
          <w:highlight w:val="none"/>
          <w:lang w:val="zh-CN" w:eastAsia="zh-CN"/>
        </w:rPr>
        <w:t>1、具备《中华人民共和国政府采购法》第22条规定的条件。</w:t>
      </w:r>
    </w:p>
    <w:p>
      <w:pPr>
        <w:spacing w:line="380" w:lineRule="exact"/>
        <w:ind w:firstLine="480" w:firstLineChars="200"/>
        <w:rPr>
          <w:rFonts w:hint="eastAsia" w:ascii="宋体" w:hAnsi="宋体"/>
          <w:sz w:val="24"/>
          <w:szCs w:val="24"/>
          <w:highlight w:val="yellow"/>
        </w:rPr>
      </w:pPr>
      <w:r>
        <w:rPr>
          <w:rFonts w:hint="eastAsia" w:ascii="宋体" w:hAnsi="宋体"/>
          <w:sz w:val="24"/>
          <w:szCs w:val="24"/>
          <w:highlight w:val="yellow"/>
          <w:lang w:val="en-US" w:eastAsia="zh-CN"/>
        </w:rPr>
        <w:t>2、</w:t>
      </w:r>
      <w:r>
        <w:rPr>
          <w:rFonts w:hint="eastAsia" w:ascii="宋体" w:hAnsi="宋体"/>
          <w:sz w:val="24"/>
          <w:szCs w:val="24"/>
          <w:highlight w:val="yellow"/>
        </w:rPr>
        <w:t>投标人持有《网络安全等级测评与检测评估机构服务认证证书》（证书在有效期内），且未被主管部门暂停业务</w:t>
      </w:r>
      <w:r>
        <w:rPr>
          <w:rFonts w:hint="eastAsia" w:ascii="宋体" w:hAnsi="宋体"/>
          <w:sz w:val="24"/>
          <w:szCs w:val="24"/>
          <w:highlight w:val="yellow"/>
          <w:lang w:val="en-US" w:eastAsia="zh-CN"/>
        </w:rPr>
        <w:t>或</w:t>
      </w:r>
      <w:r>
        <w:rPr>
          <w:rFonts w:hint="eastAsia" w:ascii="宋体" w:hAnsi="宋体"/>
          <w:sz w:val="24"/>
          <w:szCs w:val="24"/>
          <w:highlight w:val="yellow"/>
        </w:rPr>
        <w:t>处于整改期内。</w:t>
      </w:r>
    </w:p>
    <w:p>
      <w:pPr>
        <w:spacing w:line="380" w:lineRule="exact"/>
        <w:ind w:firstLine="480" w:firstLineChars="200"/>
        <w:rPr>
          <w:rFonts w:hint="eastAsia" w:ascii="宋体" w:hAnsi="宋体"/>
          <w:sz w:val="24"/>
          <w:szCs w:val="24"/>
          <w:highlight w:val="yellow"/>
        </w:rPr>
      </w:pPr>
      <w:r>
        <w:rPr>
          <w:rFonts w:hint="eastAsia" w:ascii="宋体" w:hAnsi="宋体"/>
          <w:sz w:val="24"/>
          <w:szCs w:val="24"/>
          <w:highlight w:val="yellow"/>
          <w:lang w:val="en-US" w:eastAsia="zh-CN"/>
        </w:rPr>
        <w:t>3、</w:t>
      </w:r>
      <w:r>
        <w:rPr>
          <w:rFonts w:hint="eastAsia" w:ascii="宋体" w:hAnsi="宋体"/>
          <w:sz w:val="24"/>
          <w:szCs w:val="24"/>
          <w:highlight w:val="yellow"/>
        </w:rPr>
        <w:t>投标人应具有</w:t>
      </w:r>
      <w:r>
        <w:rPr>
          <w:rFonts w:hint="eastAsia" w:ascii="宋体" w:hAnsi="宋体"/>
          <w:sz w:val="24"/>
          <w:szCs w:val="24"/>
          <w:highlight w:val="yellow"/>
          <w:lang w:val="en-US" w:eastAsia="zh-CN"/>
        </w:rPr>
        <w:t>二级与三级</w:t>
      </w:r>
      <w:r>
        <w:rPr>
          <w:rFonts w:hint="eastAsia" w:ascii="宋体" w:hAnsi="宋体"/>
          <w:sz w:val="24"/>
          <w:szCs w:val="24"/>
          <w:highlight w:val="yellow"/>
        </w:rPr>
        <w:t>系统等级保护测评所需的测试工具和技术手段。</w:t>
      </w:r>
    </w:p>
    <w:p>
      <w:pPr>
        <w:spacing w:line="380" w:lineRule="exact"/>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在本项目实施期间，未经用户同意，中途不得更换人员。</w:t>
      </w:r>
    </w:p>
    <w:p>
      <w:pPr>
        <w:spacing w:line="38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5、</w:t>
      </w:r>
      <w:r>
        <w:rPr>
          <w:rFonts w:hint="eastAsia" w:ascii="宋体" w:hAnsi="宋体"/>
          <w:sz w:val="24"/>
          <w:szCs w:val="24"/>
        </w:rPr>
        <w:t>本项目不接受联合体投标，不允许转包、分包。</w:t>
      </w:r>
    </w:p>
    <w:p>
      <w:pPr>
        <w:spacing w:line="380" w:lineRule="exact"/>
        <w:ind w:firstLine="480" w:firstLineChars="200"/>
        <w:rPr>
          <w:rFonts w:hint="default" w:ascii="宋体" w:hAnsi="宋体"/>
          <w:sz w:val="24"/>
          <w:szCs w:val="24"/>
          <w:lang w:val="zh-CN" w:eastAsia="zh-CN"/>
        </w:rPr>
      </w:pPr>
      <w:r>
        <w:rPr>
          <w:rFonts w:hint="eastAsia" w:ascii="宋体" w:hAnsi="宋体"/>
          <w:sz w:val="24"/>
          <w:szCs w:val="24"/>
          <w:lang w:val="en-US" w:eastAsia="zh-CN"/>
        </w:rPr>
        <w:t>6</w:t>
      </w:r>
      <w:r>
        <w:rPr>
          <w:rFonts w:hint="eastAsia" w:ascii="宋体" w:hAnsi="宋体"/>
          <w:sz w:val="24"/>
          <w:szCs w:val="24"/>
          <w:lang w:val="zh-CN" w:eastAsia="zh-CN"/>
        </w:rPr>
        <w:t>、投标人须符合下列情形之一（不良行为记录以《马鞍山市公共资源交易主体不良行为信息处理暂行办法》（马公管〔</w:t>
      </w:r>
      <w:r>
        <w:rPr>
          <w:rFonts w:hint="default" w:ascii="宋体" w:hAnsi="宋体"/>
          <w:sz w:val="24"/>
          <w:szCs w:val="24"/>
          <w:lang w:val="zh-CN" w:eastAsia="zh-CN"/>
        </w:rPr>
        <w:t>2016</w:t>
      </w:r>
      <w:r>
        <w:rPr>
          <w:rFonts w:hint="eastAsia" w:ascii="宋体" w:hAnsi="宋体"/>
          <w:sz w:val="24"/>
          <w:szCs w:val="24"/>
          <w:lang w:val="zh-CN" w:eastAsia="zh-CN"/>
        </w:rPr>
        <w:t>〕</w:t>
      </w:r>
      <w:r>
        <w:rPr>
          <w:rFonts w:hint="default" w:ascii="宋体" w:hAnsi="宋体"/>
          <w:sz w:val="24"/>
          <w:szCs w:val="24"/>
          <w:lang w:val="zh-CN" w:eastAsia="zh-CN"/>
        </w:rPr>
        <w:t>35</w:t>
      </w:r>
      <w:r>
        <w:rPr>
          <w:rFonts w:hint="eastAsia" w:ascii="宋体" w:hAnsi="宋体"/>
          <w:sz w:val="24"/>
          <w:szCs w:val="24"/>
          <w:lang w:val="zh-CN" w:eastAsia="zh-CN"/>
        </w:rPr>
        <w:t>号）为准）：</w:t>
      </w:r>
    </w:p>
    <w:p>
      <w:pPr>
        <w:spacing w:line="38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w:t>
      </w:r>
      <w:r>
        <w:rPr>
          <w:rFonts w:hint="default" w:ascii="宋体" w:hAnsi="宋体"/>
          <w:sz w:val="24"/>
          <w:szCs w:val="24"/>
          <w:lang w:val="en-US" w:eastAsia="zh-CN"/>
        </w:rPr>
        <w:t>1</w:t>
      </w:r>
      <w:r>
        <w:rPr>
          <w:rFonts w:hint="eastAsia" w:ascii="宋体" w:hAnsi="宋体"/>
          <w:sz w:val="24"/>
          <w:szCs w:val="24"/>
          <w:lang w:val="en-US" w:eastAsia="zh-CN"/>
        </w:rPr>
        <w:t>）开标日前两年内未被马鞍山市、县公共资源交易监督管理部门记不良行为记录或记不良行为记录累计未满</w:t>
      </w:r>
      <w:r>
        <w:rPr>
          <w:rFonts w:hint="default" w:ascii="宋体" w:hAnsi="宋体"/>
          <w:sz w:val="24"/>
          <w:szCs w:val="24"/>
          <w:lang w:val="en-US" w:eastAsia="zh-CN"/>
        </w:rPr>
        <w:t>5</w:t>
      </w:r>
      <w:r>
        <w:rPr>
          <w:rFonts w:hint="eastAsia" w:ascii="宋体" w:hAnsi="宋体"/>
          <w:sz w:val="24"/>
          <w:szCs w:val="24"/>
          <w:lang w:val="en-US" w:eastAsia="zh-CN"/>
        </w:rPr>
        <w:t>分的。</w:t>
      </w:r>
    </w:p>
    <w:p>
      <w:pPr>
        <w:spacing w:line="38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w:t>
      </w:r>
      <w:r>
        <w:rPr>
          <w:rFonts w:hint="default" w:ascii="宋体" w:hAnsi="宋体"/>
          <w:sz w:val="24"/>
          <w:szCs w:val="24"/>
          <w:lang w:val="en-US" w:eastAsia="zh-CN"/>
        </w:rPr>
        <w:t>2</w:t>
      </w:r>
      <w:r>
        <w:rPr>
          <w:rFonts w:hint="eastAsia" w:ascii="宋体" w:hAnsi="宋体"/>
          <w:sz w:val="24"/>
          <w:szCs w:val="24"/>
          <w:lang w:val="en-US" w:eastAsia="zh-CN"/>
        </w:rPr>
        <w:t>）最近一次被马鞍山市、县公共资源交易监督管理部门记不良行为记录累计记分达</w:t>
      </w:r>
      <w:r>
        <w:rPr>
          <w:rFonts w:hint="default" w:ascii="宋体" w:hAnsi="宋体"/>
          <w:sz w:val="24"/>
          <w:szCs w:val="24"/>
          <w:lang w:val="en-US" w:eastAsia="zh-CN"/>
        </w:rPr>
        <w:t>5</w:t>
      </w:r>
      <w:r>
        <w:rPr>
          <w:rFonts w:hint="eastAsia" w:ascii="宋体" w:hAnsi="宋体"/>
          <w:sz w:val="24"/>
          <w:szCs w:val="24"/>
          <w:lang w:val="en-US" w:eastAsia="zh-CN"/>
        </w:rPr>
        <w:t>分到</w:t>
      </w:r>
      <w:r>
        <w:rPr>
          <w:rFonts w:hint="default" w:ascii="宋体" w:hAnsi="宋体"/>
          <w:sz w:val="24"/>
          <w:szCs w:val="24"/>
          <w:lang w:val="en-US" w:eastAsia="zh-CN"/>
        </w:rPr>
        <w:t>9</w:t>
      </w:r>
      <w:r>
        <w:rPr>
          <w:rFonts w:hint="eastAsia" w:ascii="宋体" w:hAnsi="宋体"/>
          <w:sz w:val="24"/>
          <w:szCs w:val="24"/>
          <w:lang w:val="en-US" w:eastAsia="zh-CN"/>
        </w:rPr>
        <w:t>分</w:t>
      </w:r>
      <w:r>
        <w:rPr>
          <w:rFonts w:hint="default" w:ascii="宋体" w:hAnsi="宋体"/>
          <w:sz w:val="24"/>
          <w:szCs w:val="24"/>
          <w:lang w:val="en-US" w:eastAsia="zh-CN"/>
        </w:rPr>
        <w:t>(</w:t>
      </w:r>
      <w:r>
        <w:rPr>
          <w:rFonts w:hint="eastAsia" w:ascii="宋体" w:hAnsi="宋体"/>
          <w:sz w:val="24"/>
          <w:szCs w:val="24"/>
          <w:lang w:val="en-US" w:eastAsia="zh-CN"/>
        </w:rPr>
        <w:t>含</w:t>
      </w:r>
      <w:r>
        <w:rPr>
          <w:rFonts w:hint="default" w:ascii="宋体" w:hAnsi="宋体"/>
          <w:sz w:val="24"/>
          <w:szCs w:val="24"/>
          <w:lang w:val="en-US" w:eastAsia="zh-CN"/>
        </w:rPr>
        <w:t>9</w:t>
      </w:r>
      <w:r>
        <w:rPr>
          <w:rFonts w:hint="eastAsia" w:ascii="宋体" w:hAnsi="宋体"/>
          <w:sz w:val="24"/>
          <w:szCs w:val="24"/>
          <w:lang w:val="en-US" w:eastAsia="zh-CN"/>
        </w:rPr>
        <w:t>分</w:t>
      </w:r>
      <w:r>
        <w:rPr>
          <w:rFonts w:hint="default" w:ascii="宋体" w:hAnsi="宋体"/>
          <w:sz w:val="24"/>
          <w:szCs w:val="24"/>
          <w:lang w:val="en-US" w:eastAsia="zh-CN"/>
        </w:rPr>
        <w:t>)</w:t>
      </w:r>
      <w:r>
        <w:rPr>
          <w:rFonts w:hint="eastAsia" w:ascii="宋体" w:hAnsi="宋体"/>
          <w:sz w:val="24"/>
          <w:szCs w:val="24"/>
          <w:lang w:val="en-US" w:eastAsia="zh-CN"/>
        </w:rPr>
        <w:t>且公布日距日超过</w:t>
      </w:r>
      <w:r>
        <w:rPr>
          <w:rFonts w:hint="default" w:ascii="宋体" w:hAnsi="宋体"/>
          <w:sz w:val="24"/>
          <w:szCs w:val="24"/>
          <w:lang w:val="en-US" w:eastAsia="zh-CN"/>
        </w:rPr>
        <w:t>3</w:t>
      </w:r>
      <w:r>
        <w:rPr>
          <w:rFonts w:hint="eastAsia" w:ascii="宋体" w:hAnsi="宋体"/>
          <w:sz w:val="24"/>
          <w:szCs w:val="24"/>
          <w:lang w:val="en-US" w:eastAsia="zh-CN"/>
        </w:rPr>
        <w:t>个月。</w:t>
      </w:r>
    </w:p>
    <w:p>
      <w:pPr>
        <w:spacing w:line="38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w:t>
      </w:r>
      <w:r>
        <w:rPr>
          <w:rFonts w:hint="default" w:ascii="宋体" w:hAnsi="宋体"/>
          <w:sz w:val="24"/>
          <w:szCs w:val="24"/>
          <w:lang w:val="en-US" w:eastAsia="zh-CN"/>
        </w:rPr>
        <w:t>3</w:t>
      </w:r>
      <w:r>
        <w:rPr>
          <w:rFonts w:hint="eastAsia" w:ascii="宋体" w:hAnsi="宋体"/>
          <w:sz w:val="24"/>
          <w:szCs w:val="24"/>
          <w:lang w:val="en-US" w:eastAsia="zh-CN"/>
        </w:rPr>
        <w:t>）最近一次被马鞍山市、县公共资源交易监督管理部门记不良行为记录累计记分达</w:t>
      </w:r>
      <w:r>
        <w:rPr>
          <w:rFonts w:hint="default" w:ascii="宋体" w:hAnsi="宋体"/>
          <w:sz w:val="24"/>
          <w:szCs w:val="24"/>
          <w:lang w:val="en-US" w:eastAsia="zh-CN"/>
        </w:rPr>
        <w:t>10</w:t>
      </w:r>
      <w:r>
        <w:rPr>
          <w:rFonts w:hint="eastAsia" w:ascii="宋体" w:hAnsi="宋体"/>
          <w:sz w:val="24"/>
          <w:szCs w:val="24"/>
          <w:lang w:val="en-US" w:eastAsia="zh-CN"/>
        </w:rPr>
        <w:t>分到</w:t>
      </w:r>
      <w:r>
        <w:rPr>
          <w:rFonts w:hint="default" w:ascii="宋体" w:hAnsi="宋体"/>
          <w:sz w:val="24"/>
          <w:szCs w:val="24"/>
          <w:lang w:val="en-US" w:eastAsia="zh-CN"/>
        </w:rPr>
        <w:t>19</w:t>
      </w:r>
      <w:r>
        <w:rPr>
          <w:rFonts w:hint="eastAsia" w:ascii="宋体" w:hAnsi="宋体"/>
          <w:sz w:val="24"/>
          <w:szCs w:val="24"/>
          <w:lang w:val="en-US" w:eastAsia="zh-CN"/>
        </w:rPr>
        <w:t>分</w:t>
      </w:r>
      <w:r>
        <w:rPr>
          <w:rFonts w:hint="default" w:ascii="宋体" w:hAnsi="宋体"/>
          <w:sz w:val="24"/>
          <w:szCs w:val="24"/>
          <w:lang w:val="en-US" w:eastAsia="zh-CN"/>
        </w:rPr>
        <w:t>(</w:t>
      </w:r>
      <w:r>
        <w:rPr>
          <w:rFonts w:hint="eastAsia" w:ascii="宋体" w:hAnsi="宋体"/>
          <w:sz w:val="24"/>
          <w:szCs w:val="24"/>
          <w:lang w:val="en-US" w:eastAsia="zh-CN"/>
        </w:rPr>
        <w:t>含</w:t>
      </w:r>
      <w:r>
        <w:rPr>
          <w:rFonts w:hint="default" w:ascii="宋体" w:hAnsi="宋体"/>
          <w:sz w:val="24"/>
          <w:szCs w:val="24"/>
          <w:lang w:val="en-US" w:eastAsia="zh-CN"/>
        </w:rPr>
        <w:t>19</w:t>
      </w:r>
      <w:r>
        <w:rPr>
          <w:rFonts w:hint="eastAsia" w:ascii="宋体" w:hAnsi="宋体"/>
          <w:sz w:val="24"/>
          <w:szCs w:val="24"/>
          <w:lang w:val="en-US" w:eastAsia="zh-CN"/>
        </w:rPr>
        <w:t>分</w:t>
      </w:r>
      <w:r>
        <w:rPr>
          <w:rFonts w:hint="default" w:ascii="宋体" w:hAnsi="宋体"/>
          <w:sz w:val="24"/>
          <w:szCs w:val="24"/>
          <w:lang w:val="en-US" w:eastAsia="zh-CN"/>
        </w:rPr>
        <w:t>)</w:t>
      </w:r>
      <w:r>
        <w:rPr>
          <w:rFonts w:hint="eastAsia" w:ascii="宋体" w:hAnsi="宋体"/>
          <w:sz w:val="24"/>
          <w:szCs w:val="24"/>
          <w:lang w:val="en-US" w:eastAsia="zh-CN"/>
        </w:rPr>
        <w:t>且公布日距开标日超过</w:t>
      </w:r>
      <w:r>
        <w:rPr>
          <w:rFonts w:hint="default" w:ascii="宋体" w:hAnsi="宋体"/>
          <w:sz w:val="24"/>
          <w:szCs w:val="24"/>
          <w:lang w:val="en-US" w:eastAsia="zh-CN"/>
        </w:rPr>
        <w:t>6</w:t>
      </w:r>
      <w:r>
        <w:rPr>
          <w:rFonts w:hint="eastAsia" w:ascii="宋体" w:hAnsi="宋体"/>
          <w:sz w:val="24"/>
          <w:szCs w:val="24"/>
          <w:lang w:val="en-US" w:eastAsia="zh-CN"/>
        </w:rPr>
        <w:t>个月。</w:t>
      </w:r>
    </w:p>
    <w:p>
      <w:pPr>
        <w:spacing w:line="38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w:t>
      </w:r>
      <w:r>
        <w:rPr>
          <w:rFonts w:hint="default" w:ascii="宋体" w:hAnsi="宋体"/>
          <w:sz w:val="24"/>
          <w:szCs w:val="24"/>
          <w:lang w:val="en-US" w:eastAsia="zh-CN"/>
        </w:rPr>
        <w:t>4</w:t>
      </w:r>
      <w:r>
        <w:rPr>
          <w:rFonts w:hint="eastAsia" w:ascii="宋体" w:hAnsi="宋体"/>
          <w:sz w:val="24"/>
          <w:szCs w:val="24"/>
          <w:lang w:val="en-US" w:eastAsia="zh-CN"/>
        </w:rPr>
        <w:t>）最近一次被马鞍山市、县公共资源交易监督管理部门记不良行为记录累计记分达</w:t>
      </w:r>
      <w:r>
        <w:rPr>
          <w:rFonts w:hint="default" w:ascii="宋体" w:hAnsi="宋体"/>
          <w:sz w:val="24"/>
          <w:szCs w:val="24"/>
          <w:lang w:val="en-US" w:eastAsia="zh-CN"/>
        </w:rPr>
        <w:t>20</w:t>
      </w:r>
      <w:r>
        <w:rPr>
          <w:rFonts w:hint="eastAsia" w:ascii="宋体" w:hAnsi="宋体"/>
          <w:sz w:val="24"/>
          <w:szCs w:val="24"/>
          <w:lang w:val="en-US" w:eastAsia="zh-CN"/>
        </w:rPr>
        <w:t>分到</w:t>
      </w:r>
      <w:r>
        <w:rPr>
          <w:rFonts w:hint="default" w:ascii="宋体" w:hAnsi="宋体"/>
          <w:sz w:val="24"/>
          <w:szCs w:val="24"/>
          <w:lang w:val="en-US" w:eastAsia="zh-CN"/>
        </w:rPr>
        <w:t>29</w:t>
      </w:r>
      <w:r>
        <w:rPr>
          <w:rFonts w:hint="eastAsia" w:ascii="宋体" w:hAnsi="宋体"/>
          <w:sz w:val="24"/>
          <w:szCs w:val="24"/>
          <w:lang w:val="en-US" w:eastAsia="zh-CN"/>
        </w:rPr>
        <w:t>分</w:t>
      </w:r>
      <w:r>
        <w:rPr>
          <w:rFonts w:hint="default" w:ascii="宋体" w:hAnsi="宋体"/>
          <w:sz w:val="24"/>
          <w:szCs w:val="24"/>
          <w:lang w:val="en-US" w:eastAsia="zh-CN"/>
        </w:rPr>
        <w:t>(</w:t>
      </w:r>
      <w:r>
        <w:rPr>
          <w:rFonts w:hint="eastAsia" w:ascii="宋体" w:hAnsi="宋体"/>
          <w:sz w:val="24"/>
          <w:szCs w:val="24"/>
          <w:lang w:val="en-US" w:eastAsia="zh-CN"/>
        </w:rPr>
        <w:t>含</w:t>
      </w:r>
      <w:r>
        <w:rPr>
          <w:rFonts w:hint="default" w:ascii="宋体" w:hAnsi="宋体"/>
          <w:sz w:val="24"/>
          <w:szCs w:val="24"/>
          <w:lang w:val="en-US" w:eastAsia="zh-CN"/>
        </w:rPr>
        <w:t>29</w:t>
      </w:r>
      <w:r>
        <w:rPr>
          <w:rFonts w:hint="eastAsia" w:ascii="宋体" w:hAnsi="宋体"/>
          <w:sz w:val="24"/>
          <w:szCs w:val="24"/>
          <w:lang w:val="en-US" w:eastAsia="zh-CN"/>
        </w:rPr>
        <w:t>分</w:t>
      </w:r>
      <w:r>
        <w:rPr>
          <w:rFonts w:hint="default" w:ascii="宋体" w:hAnsi="宋体"/>
          <w:sz w:val="24"/>
          <w:szCs w:val="24"/>
          <w:lang w:val="en-US" w:eastAsia="zh-CN"/>
        </w:rPr>
        <w:t>)</w:t>
      </w:r>
      <w:r>
        <w:rPr>
          <w:rFonts w:hint="eastAsia" w:ascii="宋体" w:hAnsi="宋体"/>
          <w:sz w:val="24"/>
          <w:szCs w:val="24"/>
          <w:lang w:val="en-US" w:eastAsia="zh-CN"/>
        </w:rPr>
        <w:t>且公布日距开标日超过</w:t>
      </w:r>
      <w:r>
        <w:rPr>
          <w:rFonts w:hint="default" w:ascii="宋体" w:hAnsi="宋体"/>
          <w:sz w:val="24"/>
          <w:szCs w:val="24"/>
          <w:lang w:val="en-US" w:eastAsia="zh-CN"/>
        </w:rPr>
        <w:t>12</w:t>
      </w:r>
      <w:r>
        <w:rPr>
          <w:rFonts w:hint="eastAsia" w:ascii="宋体" w:hAnsi="宋体"/>
          <w:sz w:val="24"/>
          <w:szCs w:val="24"/>
          <w:lang w:val="en-US" w:eastAsia="zh-CN"/>
        </w:rPr>
        <w:t>个月。</w:t>
      </w:r>
    </w:p>
    <w:p>
      <w:pPr>
        <w:spacing w:line="380" w:lineRule="exact"/>
        <w:ind w:firstLine="480" w:firstLineChars="200"/>
        <w:rPr>
          <w:rFonts w:hint="default"/>
          <w:sz w:val="24"/>
          <w:szCs w:val="24"/>
          <w:lang w:val="en-US" w:eastAsia="zh-CN"/>
        </w:rPr>
      </w:pPr>
      <w:r>
        <w:rPr>
          <w:rFonts w:hint="eastAsia" w:ascii="宋体" w:hAnsi="宋体"/>
          <w:sz w:val="24"/>
          <w:szCs w:val="24"/>
          <w:lang w:val="en-US" w:eastAsia="zh-CN"/>
        </w:rPr>
        <w:t>（</w:t>
      </w:r>
      <w:r>
        <w:rPr>
          <w:rFonts w:hint="default" w:ascii="宋体" w:hAnsi="宋体"/>
          <w:sz w:val="24"/>
          <w:szCs w:val="24"/>
          <w:lang w:val="en-US" w:eastAsia="zh-CN"/>
        </w:rPr>
        <w:t>5</w:t>
      </w:r>
      <w:r>
        <w:rPr>
          <w:rFonts w:hint="eastAsia" w:ascii="宋体" w:hAnsi="宋体"/>
          <w:sz w:val="24"/>
          <w:szCs w:val="24"/>
          <w:lang w:val="en-US" w:eastAsia="zh-CN"/>
        </w:rPr>
        <w:t>）最近一次被马鞍山市、县公共资源交易监督管理部门记不良行为记录累计记分</w:t>
      </w:r>
      <w:r>
        <w:rPr>
          <w:rFonts w:hint="default" w:ascii="宋体" w:hAnsi="宋体"/>
          <w:sz w:val="24"/>
          <w:szCs w:val="24"/>
          <w:lang w:val="en-US" w:eastAsia="zh-CN"/>
        </w:rPr>
        <w:t>30</w:t>
      </w:r>
      <w:r>
        <w:rPr>
          <w:rFonts w:hint="eastAsia" w:ascii="宋体" w:hAnsi="宋体"/>
          <w:sz w:val="24"/>
          <w:szCs w:val="24"/>
          <w:lang w:val="en-US" w:eastAsia="zh-CN"/>
        </w:rPr>
        <w:t>分以上</w:t>
      </w:r>
      <w:r>
        <w:rPr>
          <w:rFonts w:hint="default" w:ascii="宋体" w:hAnsi="宋体"/>
          <w:sz w:val="24"/>
          <w:szCs w:val="24"/>
          <w:lang w:val="en-US" w:eastAsia="zh-CN"/>
        </w:rPr>
        <w:t>(</w:t>
      </w:r>
      <w:r>
        <w:rPr>
          <w:rFonts w:hint="eastAsia" w:ascii="宋体" w:hAnsi="宋体"/>
          <w:sz w:val="24"/>
          <w:szCs w:val="24"/>
          <w:lang w:val="en-US" w:eastAsia="zh-CN"/>
        </w:rPr>
        <w:t>含</w:t>
      </w:r>
      <w:r>
        <w:rPr>
          <w:rFonts w:hint="default" w:ascii="宋体" w:hAnsi="宋体"/>
          <w:sz w:val="24"/>
          <w:szCs w:val="24"/>
          <w:lang w:val="en-US" w:eastAsia="zh-CN"/>
        </w:rPr>
        <w:t>30</w:t>
      </w:r>
      <w:r>
        <w:rPr>
          <w:rFonts w:hint="eastAsia" w:ascii="宋体" w:hAnsi="宋体"/>
          <w:sz w:val="24"/>
          <w:szCs w:val="24"/>
          <w:lang w:val="en-US" w:eastAsia="zh-CN"/>
        </w:rPr>
        <w:t>分</w:t>
      </w:r>
      <w:r>
        <w:rPr>
          <w:rFonts w:hint="default" w:ascii="宋体" w:hAnsi="宋体"/>
          <w:sz w:val="24"/>
          <w:szCs w:val="24"/>
          <w:lang w:val="en-US" w:eastAsia="zh-CN"/>
        </w:rPr>
        <w:t>)</w:t>
      </w:r>
      <w:r>
        <w:rPr>
          <w:rFonts w:hint="eastAsia" w:ascii="宋体" w:hAnsi="宋体"/>
          <w:sz w:val="24"/>
          <w:szCs w:val="24"/>
          <w:lang w:val="en-US" w:eastAsia="zh-CN"/>
        </w:rPr>
        <w:t>且公布日距开标日超过</w:t>
      </w:r>
      <w:r>
        <w:rPr>
          <w:rFonts w:hint="default" w:ascii="宋体" w:hAnsi="宋体"/>
          <w:sz w:val="24"/>
          <w:szCs w:val="24"/>
          <w:lang w:val="en-US" w:eastAsia="zh-CN"/>
        </w:rPr>
        <w:t>24</w:t>
      </w:r>
      <w:r>
        <w:rPr>
          <w:rFonts w:hint="eastAsia" w:ascii="宋体" w:hAnsi="宋体"/>
          <w:sz w:val="24"/>
          <w:szCs w:val="24"/>
          <w:lang w:val="en-US" w:eastAsia="zh-CN"/>
        </w:rPr>
        <w:t>个月。</w:t>
      </w: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55DCBD-7F5C-459A-ACA3-880E6F73CE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29BBDC0-0B4E-4A32-8B09-932CD64EFDA8}"/>
  </w:font>
  <w:font w:name="仿宋_GB2312">
    <w:altName w:val="仿宋"/>
    <w:panose1 w:val="00000000000000000000"/>
    <w:charset w:val="86"/>
    <w:family w:val="auto"/>
    <w:pitch w:val="default"/>
    <w:sig w:usb0="00000000" w:usb1="00000000" w:usb2="00000010" w:usb3="00000000" w:csb0="00040000" w:csb1="00000000"/>
    <w:embedRegular r:id="rId3" w:fontKey="{AAD968C3-AFFE-4138-A50A-8C0EE75A1E1B}"/>
  </w:font>
  <w:font w:name="仿宋">
    <w:panose1 w:val="02010609060101010101"/>
    <w:charset w:val="86"/>
    <w:family w:val="auto"/>
    <w:pitch w:val="default"/>
    <w:sig w:usb0="800002BF" w:usb1="38CF7CFA" w:usb2="00000016" w:usb3="00000000" w:csb0="00040001" w:csb1="00000000"/>
    <w:embedRegular r:id="rId4" w:fontKey="{7BE9C1C2-B8F1-48A4-B22C-F3029D21B337}"/>
  </w:font>
  <w:font w:name="楷体_GB2312">
    <w:altName w:val="楷体"/>
    <w:panose1 w:val="02010609030101010101"/>
    <w:charset w:val="86"/>
    <w:family w:val="auto"/>
    <w:pitch w:val="default"/>
    <w:sig w:usb0="00000000" w:usb1="00000000" w:usb2="00000000" w:usb3="00000000" w:csb0="00040000" w:csb1="00000000"/>
    <w:embedRegular r:id="rId5" w:fontKey="{7CDC4AD0-967B-49A4-A5C1-F4EC41980EC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upperLetter"/>
      <w:lvlText w:val="%1."/>
      <w:lvlJc w:val="left"/>
      <w:pPr>
        <w:tabs>
          <w:tab w:val="left" w:pos="1830"/>
        </w:tabs>
        <w:ind w:left="183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A6C6349"/>
    <w:rsid w:val="106A0010"/>
    <w:rsid w:val="21072CC7"/>
    <w:rsid w:val="2214117B"/>
    <w:rsid w:val="22D3454B"/>
    <w:rsid w:val="28901CFF"/>
    <w:rsid w:val="32354DFC"/>
    <w:rsid w:val="62C24D5C"/>
    <w:rsid w:val="669D078E"/>
    <w:rsid w:val="6C6E4B04"/>
    <w:rsid w:val="75C45BA0"/>
    <w:rsid w:val="77E640D1"/>
    <w:rsid w:val="780B0ECF"/>
    <w:rsid w:val="7A992B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19">
    <w:name w:val="Default Paragraph Font"/>
    <w:autoRedefine/>
    <w:semiHidden/>
    <w:unhideWhenUsed/>
    <w:qFormat/>
    <w:uiPriority w:val="1"/>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semiHidden/>
    <w:qFormat/>
    <w:uiPriority w:val="0"/>
    <w:pPr>
      <w:jc w:val="left"/>
    </w:pPr>
    <w:rPr>
      <w:szCs w:val="24"/>
    </w:rPr>
  </w:style>
  <w:style w:type="paragraph" w:styleId="3">
    <w:name w:val="Body Text"/>
    <w:basedOn w:val="1"/>
    <w:next w:val="4"/>
    <w:link w:val="27"/>
    <w:autoRedefine/>
    <w:qFormat/>
    <w:uiPriority w:val="0"/>
    <w:pPr>
      <w:jc w:val="left"/>
    </w:pPr>
    <w:rPr>
      <w:rFonts w:ascii="Arial" w:hAnsi="Arial" w:eastAsia="黑体"/>
      <w:b/>
      <w:sz w:val="32"/>
    </w:rPr>
  </w:style>
  <w:style w:type="paragraph" w:customStyle="1" w:styleId="4">
    <w:name w:val="一级条标题"/>
    <w:basedOn w:val="5"/>
    <w:next w:val="6"/>
    <w:autoRedefine/>
    <w:qFormat/>
    <w:uiPriority w:val="0"/>
    <w:pPr>
      <w:numPr>
        <w:ilvl w:val="2"/>
        <w:numId w:val="1"/>
      </w:numPr>
      <w:tabs>
        <w:tab w:val="left" w:pos="1830"/>
      </w:tabs>
      <w:spacing w:beforeLines="0" w:afterLines="0"/>
      <w:outlineLvl w:val="2"/>
    </w:pPr>
  </w:style>
  <w:style w:type="paragraph" w:customStyle="1" w:styleId="5">
    <w:name w:val="章标题"/>
    <w:next w:val="1"/>
    <w:autoRedefine/>
    <w:qFormat/>
    <w:uiPriority w:val="0"/>
    <w:pPr>
      <w:numPr>
        <w:ilvl w:val="1"/>
        <w:numId w:val="1"/>
      </w:numPr>
      <w:tabs>
        <w:tab w:val="left" w:pos="1830"/>
      </w:tabs>
      <w:spacing w:beforeLines="50" w:afterLines="50"/>
      <w:jc w:val="both"/>
      <w:outlineLvl w:val="1"/>
    </w:pPr>
    <w:rPr>
      <w:rFonts w:ascii="黑体" w:hAnsi="Times New Roman" w:eastAsia="黑体" w:cs="Times New Roman"/>
      <w:sz w:val="21"/>
      <w:lang w:val="en-US" w:eastAsia="zh-CN" w:bidi="ar-SA"/>
    </w:rPr>
  </w:style>
  <w:style w:type="paragraph" w:customStyle="1" w:styleId="6">
    <w:name w:val="段"/>
    <w:next w:val="1"/>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styleId="7">
    <w:name w:val="Body Text Indent"/>
    <w:basedOn w:val="1"/>
    <w:next w:val="8"/>
    <w:link w:val="28"/>
    <w:autoRedefine/>
    <w:semiHidden/>
    <w:unhideWhenUsed/>
    <w:qFormat/>
    <w:uiPriority w:val="99"/>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Date"/>
    <w:basedOn w:val="1"/>
    <w:next w:val="1"/>
    <w:link w:val="25"/>
    <w:autoRedefine/>
    <w:semiHidden/>
    <w:unhideWhenUsed/>
    <w:qFormat/>
    <w:uiPriority w:val="99"/>
    <w:pPr>
      <w:ind w:left="100" w:leftChars="2500"/>
    </w:pPr>
  </w:style>
  <w:style w:type="paragraph" w:styleId="10">
    <w:name w:val="Body Text Indent 2"/>
    <w:basedOn w:val="1"/>
    <w:autoRedefine/>
    <w:qFormat/>
    <w:uiPriority w:val="0"/>
    <w:pPr>
      <w:spacing w:after="120" w:line="480" w:lineRule="auto"/>
      <w:ind w:left="420" w:leftChars="200"/>
    </w:pPr>
    <w:rPr>
      <w:rFonts w:ascii="宋体"/>
      <w:sz w:val="32"/>
      <w:szCs w:val="22"/>
    </w:rPr>
  </w:style>
  <w:style w:type="paragraph" w:styleId="11">
    <w:name w:val="Balloon Text"/>
    <w:basedOn w:val="1"/>
    <w:link w:val="30"/>
    <w:autoRedefine/>
    <w:semiHidden/>
    <w:unhideWhenUsed/>
    <w:qFormat/>
    <w:uiPriority w:val="99"/>
    <w:rPr>
      <w:sz w:val="18"/>
      <w:szCs w:val="18"/>
    </w:rPr>
  </w:style>
  <w:style w:type="paragraph" w:styleId="12">
    <w:name w:val="footer"/>
    <w:basedOn w:val="1"/>
    <w:link w:val="24"/>
    <w:autoRedefine/>
    <w:unhideWhenUsed/>
    <w:qFormat/>
    <w:uiPriority w:val="0"/>
    <w:pPr>
      <w:tabs>
        <w:tab w:val="center" w:pos="4153"/>
        <w:tab w:val="right" w:pos="8306"/>
      </w:tabs>
      <w:snapToGrid w:val="0"/>
      <w:jc w:val="left"/>
    </w:pPr>
    <w:rPr>
      <w:sz w:val="18"/>
      <w:szCs w:val="18"/>
    </w:rPr>
  </w:style>
  <w:style w:type="paragraph" w:styleId="13">
    <w:name w:val="header"/>
    <w:basedOn w:val="1"/>
    <w:link w:val="2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autoRedefine/>
    <w:qFormat/>
    <w:uiPriority w:val="39"/>
    <w:pPr>
      <w:ind w:left="210"/>
    </w:pPr>
    <w:rPr>
      <w:rFonts w:ascii="Calibri" w:hAnsi="Calibri" w:eastAsia="宋体" w:cs="Times New Roman"/>
      <w:szCs w:val="24"/>
    </w:rPr>
  </w:style>
  <w:style w:type="paragraph" w:styleId="1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3"/>
    <w:next w:val="17"/>
    <w:autoRedefine/>
    <w:unhideWhenUsed/>
    <w:qFormat/>
    <w:uiPriority w:val="99"/>
    <w:pPr>
      <w:ind w:firstLine="420" w:firstLineChars="100"/>
    </w:pPr>
    <w:rPr>
      <w:kern w:val="2"/>
    </w:rPr>
  </w:style>
  <w:style w:type="paragraph" w:styleId="17">
    <w:name w:val="Body Text First Indent 2"/>
    <w:basedOn w:val="7"/>
    <w:next w:val="16"/>
    <w:link w:val="29"/>
    <w:autoRedefine/>
    <w:semiHidden/>
    <w:unhideWhenUsed/>
    <w:qFormat/>
    <w:uiPriority w:val="99"/>
    <w:pPr>
      <w:ind w:firstLine="420" w:firstLineChars="200"/>
    </w:pPr>
  </w:style>
  <w:style w:type="character" w:styleId="20">
    <w:name w:val="page number"/>
    <w:autoRedefine/>
    <w:semiHidden/>
    <w:unhideWhenUsed/>
    <w:qFormat/>
    <w:uiPriority w:val="99"/>
    <w:rPr>
      <w:rFonts w:cs="Times New Roman"/>
    </w:rPr>
  </w:style>
  <w:style w:type="character" w:styleId="21">
    <w:name w:val="Hyperlink"/>
    <w:basedOn w:val="19"/>
    <w:autoRedefine/>
    <w:unhideWhenUsed/>
    <w:qFormat/>
    <w:uiPriority w:val="99"/>
    <w:rPr>
      <w:color w:val="0000FF"/>
      <w:u w:val="single"/>
    </w:rPr>
  </w:style>
  <w:style w:type="paragraph" w:customStyle="1" w:styleId="22">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23">
    <w:name w:val="页眉 Char"/>
    <w:basedOn w:val="19"/>
    <w:link w:val="13"/>
    <w:autoRedefine/>
    <w:semiHidden/>
    <w:qFormat/>
    <w:uiPriority w:val="99"/>
    <w:rPr>
      <w:sz w:val="18"/>
      <w:szCs w:val="18"/>
    </w:rPr>
  </w:style>
  <w:style w:type="character" w:customStyle="1" w:styleId="24">
    <w:name w:val="页脚 Char"/>
    <w:basedOn w:val="19"/>
    <w:link w:val="12"/>
    <w:autoRedefine/>
    <w:qFormat/>
    <w:uiPriority w:val="0"/>
    <w:rPr>
      <w:sz w:val="18"/>
      <w:szCs w:val="18"/>
    </w:rPr>
  </w:style>
  <w:style w:type="character" w:customStyle="1" w:styleId="25">
    <w:name w:val="日期 Char"/>
    <w:basedOn w:val="19"/>
    <w:link w:val="9"/>
    <w:autoRedefine/>
    <w:semiHidden/>
    <w:qFormat/>
    <w:uiPriority w:val="99"/>
  </w:style>
  <w:style w:type="character" w:customStyle="1" w:styleId="26">
    <w:name w:val="正文文本 Char"/>
    <w:link w:val="3"/>
    <w:autoRedefine/>
    <w:qFormat/>
    <w:locked/>
    <w:uiPriority w:val="0"/>
    <w:rPr>
      <w:rFonts w:ascii="Arial" w:hAnsi="Arial" w:eastAsia="黑体"/>
      <w:b/>
      <w:sz w:val="32"/>
    </w:rPr>
  </w:style>
  <w:style w:type="character" w:customStyle="1" w:styleId="27">
    <w:name w:val="正文文本 Char1"/>
    <w:basedOn w:val="19"/>
    <w:link w:val="3"/>
    <w:autoRedefine/>
    <w:semiHidden/>
    <w:qFormat/>
    <w:uiPriority w:val="99"/>
  </w:style>
  <w:style w:type="character" w:customStyle="1" w:styleId="28">
    <w:name w:val="正文文本缩进 Char"/>
    <w:basedOn w:val="19"/>
    <w:link w:val="7"/>
    <w:autoRedefine/>
    <w:semiHidden/>
    <w:qFormat/>
    <w:uiPriority w:val="99"/>
  </w:style>
  <w:style w:type="character" w:customStyle="1" w:styleId="29">
    <w:name w:val="正文首行缩进 2 Char"/>
    <w:basedOn w:val="28"/>
    <w:link w:val="17"/>
    <w:autoRedefine/>
    <w:semiHidden/>
    <w:qFormat/>
    <w:uiPriority w:val="99"/>
  </w:style>
  <w:style w:type="character" w:customStyle="1" w:styleId="30">
    <w:name w:val="批注框文本 Char"/>
    <w:basedOn w:val="19"/>
    <w:link w:val="11"/>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5492</Words>
  <Characters>5615</Characters>
  <Lines>6</Lines>
  <Paragraphs>1</Paragraphs>
  <TotalTime>5</TotalTime>
  <ScaleCrop>false</ScaleCrop>
  <LinksUpToDate>false</LinksUpToDate>
  <CharactersWithSpaces>5624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燕山‭</cp:lastModifiedBy>
  <dcterms:modified xsi:type="dcterms:W3CDTF">2024-05-22T05:48:17Z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19F621ADCDC245F383E8092383F9DF4B_13</vt:lpwstr>
  </property>
</Properties>
</file>