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36"/>
          <w:szCs w:val="36"/>
          <w:highlight w:val="none"/>
          <w:lang w:val="en-US" w:eastAsia="zh-CN" w:bidi="ar-SA"/>
        </w:rPr>
      </w:pPr>
      <w:r>
        <w:rPr>
          <w:rFonts w:hint="eastAsia" w:ascii="宋体" w:hAnsi="宋体" w:eastAsia="宋体" w:cs="宋体"/>
          <w:color w:val="000000" w:themeColor="text1"/>
          <w:spacing w:val="-20"/>
          <w:kern w:val="2"/>
          <w:sz w:val="36"/>
          <w:szCs w:val="36"/>
          <w:highlight w:val="none"/>
          <w:lang w:val="en-US" w:eastAsia="zh-CN" w:bidi="ar-SA"/>
        </w:rPr>
        <w:t>马鞍山市中医院</w:t>
      </w:r>
      <w:r>
        <w:rPr>
          <w:rFonts w:hint="eastAsia" w:ascii="宋体" w:hAnsi="宋体" w:cs="宋体"/>
          <w:color w:val="000000" w:themeColor="text1"/>
          <w:spacing w:val="-20"/>
          <w:kern w:val="2"/>
          <w:sz w:val="36"/>
          <w:szCs w:val="36"/>
          <w:highlight w:val="none"/>
          <w:lang w:val="en-US" w:eastAsia="zh-CN" w:bidi="ar-SA"/>
        </w:rPr>
        <w:t>信息系统等保测评</w:t>
      </w:r>
      <w:r>
        <w:rPr>
          <w:rFonts w:hint="eastAsia" w:ascii="宋体" w:hAnsi="宋体" w:eastAsia="宋体" w:cs="宋体"/>
          <w:color w:val="000000" w:themeColor="text1"/>
          <w:spacing w:val="-20"/>
          <w:kern w:val="2"/>
          <w:sz w:val="36"/>
          <w:szCs w:val="36"/>
          <w:highlight w:val="none"/>
          <w:lang w:val="en-US" w:eastAsia="zh-CN" w:bidi="ar-SA"/>
        </w:rPr>
        <w:t>内容及相关要求</w:t>
      </w:r>
    </w:p>
    <w:p>
      <w:pPr>
        <w:numPr>
          <w:ilvl w:val="0"/>
          <w:numId w:val="1"/>
        </w:numPr>
        <w:tabs>
          <w:tab w:val="left" w:pos="1050"/>
        </w:tabs>
        <w:spacing w:line="460" w:lineRule="exact"/>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预算金额（人民币）：</w:t>
      </w:r>
      <w:r>
        <w:rPr>
          <w:rFonts w:hint="eastAsia" w:asciiTheme="minorEastAsia" w:hAnsiTheme="minorEastAsia" w:eastAsiaTheme="minorEastAsia" w:cstheme="minorEastAsia"/>
          <w:b w:val="0"/>
          <w:bCs w:val="0"/>
          <w:sz w:val="24"/>
          <w:szCs w:val="24"/>
          <w:u w:val="single"/>
          <w:lang w:val="en-US" w:eastAsia="zh-CN"/>
        </w:rPr>
        <w:t xml:space="preserve"> 14 </w:t>
      </w:r>
      <w:r>
        <w:rPr>
          <w:rFonts w:hint="eastAsia" w:asciiTheme="minorEastAsia" w:hAnsiTheme="minorEastAsia" w:eastAsiaTheme="minorEastAsia" w:cstheme="minorEastAsia"/>
          <w:b w:val="0"/>
          <w:bCs w:val="0"/>
          <w:sz w:val="24"/>
          <w:szCs w:val="24"/>
          <w:lang w:val="en-US" w:eastAsia="zh-CN"/>
        </w:rPr>
        <w:t>万元；最高限价（人民币）：</w:t>
      </w:r>
      <w:r>
        <w:rPr>
          <w:rFonts w:hint="eastAsia" w:asciiTheme="minorEastAsia" w:hAnsiTheme="minorEastAsia" w:eastAsiaTheme="minorEastAsia" w:cstheme="minorEastAsia"/>
          <w:b w:val="0"/>
          <w:bCs w:val="0"/>
          <w:sz w:val="24"/>
          <w:szCs w:val="24"/>
          <w:u w:val="single"/>
          <w:lang w:val="en-US" w:eastAsia="zh-CN"/>
        </w:rPr>
        <w:t xml:space="preserve"> 13.3 </w:t>
      </w:r>
      <w:r>
        <w:rPr>
          <w:rFonts w:hint="eastAsia" w:asciiTheme="minorEastAsia" w:hAnsiTheme="minorEastAsia" w:eastAsiaTheme="minorEastAsia" w:cstheme="minorEastAsia"/>
          <w:b w:val="0"/>
          <w:bCs w:val="0"/>
          <w:sz w:val="24"/>
          <w:szCs w:val="24"/>
          <w:lang w:val="en-US" w:eastAsia="zh-CN"/>
        </w:rPr>
        <w:t>万元。</w:t>
      </w:r>
    </w:p>
    <w:p>
      <w:pPr>
        <w:numPr>
          <w:ilvl w:val="0"/>
          <w:numId w:val="1"/>
        </w:numPr>
        <w:spacing w:line="480" w:lineRule="exact"/>
        <w:ind w:left="0" w:leftChars="0" w:firstLine="0" w:firstLineChars="0"/>
        <w:jc w:val="left"/>
        <w:rPr>
          <w:rFonts w:hint="eastAsia" w:asciiTheme="minorEastAsia" w:hAnsiTheme="minorEastAsia" w:eastAsiaTheme="minorEastAsia" w:cstheme="minorEastAsia"/>
          <w:sz w:val="24"/>
          <w:szCs w:val="24"/>
          <w:lang w:val="en-US" w:eastAsia="zh-CN"/>
        </w:rPr>
      </w:pPr>
      <w:bookmarkStart w:id="0" w:name="_Toc26868"/>
      <w:r>
        <w:rPr>
          <w:rFonts w:hint="eastAsia" w:asciiTheme="minorEastAsia" w:hAnsiTheme="minorEastAsia" w:eastAsiaTheme="minorEastAsia" w:cstheme="minorEastAsia"/>
          <w:b/>
          <w:sz w:val="24"/>
          <w:szCs w:val="24"/>
          <w:lang w:val="en-US" w:eastAsia="zh-CN"/>
        </w:rPr>
        <w:t>采购内容及相关要求</w:t>
      </w:r>
    </w:p>
    <w:p>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（一）采购清单</w:t>
      </w:r>
    </w:p>
    <w:tbl>
      <w:tblPr>
        <w:tblStyle w:val="15"/>
        <w:tblpPr w:leftFromText="180" w:rightFromText="180" w:vertAnchor="text" w:horzAnchor="page" w:tblpX="1331" w:tblpY="163"/>
        <w:tblOverlap w:val="never"/>
        <w:tblW w:w="91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4420"/>
        <w:gridCol w:w="1707"/>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902" w:type="dxa"/>
            <w:tcBorders>
              <w:bottom w:val="single" w:color="000000" w:sz="4" w:space="0"/>
            </w:tcBorders>
            <w:shd w:val="clear" w:color="auto" w:fill="D7D7D7"/>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序号</w:t>
            </w:r>
          </w:p>
        </w:tc>
        <w:tc>
          <w:tcPr>
            <w:tcW w:w="4420" w:type="dxa"/>
            <w:tcBorders>
              <w:bottom w:val="single" w:color="000000" w:sz="4" w:space="0"/>
            </w:tcBorders>
            <w:shd w:val="clear" w:color="auto" w:fill="D7D7D7"/>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测评系统名称</w:t>
            </w:r>
          </w:p>
        </w:tc>
        <w:tc>
          <w:tcPr>
            <w:tcW w:w="1707" w:type="dxa"/>
            <w:tcBorders>
              <w:bottom w:val="single" w:color="000000" w:sz="4" w:space="0"/>
            </w:tcBorders>
            <w:shd w:val="clear" w:color="auto" w:fill="D7D7D7"/>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定级情况</w:t>
            </w:r>
          </w:p>
        </w:tc>
        <w:tc>
          <w:tcPr>
            <w:tcW w:w="2089" w:type="dxa"/>
            <w:tcBorders>
              <w:top w:val="single" w:color="auto" w:sz="4" w:space="0"/>
              <w:bottom w:val="single" w:color="000000" w:sz="4" w:space="0"/>
            </w:tcBorders>
            <w:shd w:val="clear" w:color="auto" w:fill="D7D7D7"/>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预算单价（万元）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902"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4420" w:type="dxa"/>
            <w:noWrap w:val="0"/>
            <w:vAlign w:val="center"/>
          </w:tcPr>
          <w:p>
            <w:pPr>
              <w:spacing w:line="340" w:lineRule="exact"/>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医院综合医疗管理系统</w:t>
            </w:r>
          </w:p>
        </w:tc>
        <w:tc>
          <w:tcPr>
            <w:tcW w:w="1707"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三级</w:t>
            </w:r>
          </w:p>
        </w:tc>
        <w:tc>
          <w:tcPr>
            <w:tcW w:w="2089" w:type="dxa"/>
            <w:noWrap w:val="0"/>
            <w:vAlign w:val="center"/>
          </w:tcPr>
          <w:p>
            <w:pPr>
              <w:spacing w:line="340" w:lineRule="exact"/>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902"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4420"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互联网医院综合医疗运营管理平台</w:t>
            </w:r>
          </w:p>
        </w:tc>
        <w:tc>
          <w:tcPr>
            <w:tcW w:w="1707"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三级</w:t>
            </w:r>
          </w:p>
        </w:tc>
        <w:tc>
          <w:tcPr>
            <w:tcW w:w="2089" w:type="dxa"/>
            <w:noWrap w:val="0"/>
            <w:vAlign w:val="center"/>
          </w:tcPr>
          <w:p>
            <w:pPr>
              <w:spacing w:line="340" w:lineRule="exact"/>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902" w:type="dxa"/>
            <w:noWrap w:val="0"/>
            <w:vAlign w:val="center"/>
          </w:tcPr>
          <w:p>
            <w:pPr>
              <w:spacing w:line="340" w:lineRule="exact"/>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合计</w:t>
            </w:r>
          </w:p>
        </w:tc>
        <w:tc>
          <w:tcPr>
            <w:tcW w:w="4420" w:type="dxa"/>
            <w:noWrap w:val="0"/>
            <w:vAlign w:val="center"/>
          </w:tcPr>
          <w:p>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p>
        </w:tc>
        <w:tc>
          <w:tcPr>
            <w:tcW w:w="1707" w:type="dxa"/>
            <w:noWrap w:val="0"/>
            <w:vAlign w:val="center"/>
          </w:tcPr>
          <w:p>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p>
        </w:tc>
        <w:tc>
          <w:tcPr>
            <w:tcW w:w="2089" w:type="dxa"/>
            <w:noWrap w:val="0"/>
            <w:vAlign w:val="center"/>
          </w:tcPr>
          <w:p>
            <w:pPr>
              <w:spacing w:line="340" w:lineRule="exact"/>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r>
    </w:tbl>
    <w:p>
      <w:pPr>
        <w:jc w:val="both"/>
        <w:rPr>
          <w:rFonts w:hint="eastAsia" w:asciiTheme="minorEastAsia" w:hAnsiTheme="minorEastAsia" w:eastAsiaTheme="minorEastAsia" w:cstheme="minorEastAsia"/>
          <w:b/>
          <w:color w:val="000000"/>
          <w:sz w:val="24"/>
          <w:szCs w:val="24"/>
          <w:lang w:val="en-US" w:eastAsia="zh-CN"/>
        </w:rPr>
      </w:pPr>
    </w:p>
    <w:p>
      <w:pPr>
        <w:jc w:val="both"/>
        <w:rPr>
          <w:rFonts w:hint="eastAsia" w:asciiTheme="minorEastAsia" w:hAnsiTheme="minorEastAsia" w:eastAsiaTheme="minorEastAsia" w:cstheme="minorEastAsia"/>
          <w:b/>
          <w:color w:val="000000"/>
          <w:sz w:val="24"/>
          <w:szCs w:val="24"/>
          <w:lang w:val="en-US" w:eastAsia="zh-CN"/>
        </w:rPr>
      </w:pPr>
    </w:p>
    <w:p>
      <w:pPr>
        <w:jc w:val="center"/>
        <w:rPr>
          <w:rFonts w:hint="eastAsia" w:asciiTheme="minorEastAsia" w:hAnsiTheme="minorEastAsia" w:eastAsiaTheme="minorEastAsia" w:cstheme="minorEastAsia"/>
          <w:b/>
          <w:color w:val="000000"/>
          <w:sz w:val="24"/>
          <w:szCs w:val="24"/>
          <w:lang w:val="en-US" w:eastAsia="zh-CN"/>
        </w:rPr>
      </w:pPr>
    </w:p>
    <w:p>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（二）服务内容</w:t>
      </w:r>
    </w:p>
    <w:p>
      <w:pPr>
        <w:spacing w:line="380" w:lineRule="exact"/>
        <w:ind w:firstLine="480" w:firstLineChars="200"/>
        <w:rPr>
          <w:rFonts w:ascii="宋体" w:hAnsi="宋体"/>
          <w:b/>
          <w:bCs/>
          <w:sz w:val="24"/>
          <w:szCs w:val="24"/>
        </w:rPr>
      </w:pPr>
      <w:bookmarkStart w:id="1" w:name="_Toc25526"/>
      <w:r>
        <w:rPr>
          <w:rFonts w:hint="eastAsia" w:ascii="宋体" w:hAnsi="宋体"/>
          <w:b/>
          <w:bCs/>
          <w:sz w:val="24"/>
          <w:szCs w:val="24"/>
        </w:rPr>
        <w:t>1.项目简介</w:t>
      </w:r>
      <w:bookmarkEnd w:id="1"/>
    </w:p>
    <w:p>
      <w:pPr>
        <w:spacing w:line="380" w:lineRule="exact"/>
        <w:ind w:firstLine="480" w:firstLineChars="200"/>
        <w:rPr>
          <w:rFonts w:ascii="宋体" w:hAnsi="宋体"/>
          <w:b/>
          <w:bCs/>
          <w:sz w:val="24"/>
          <w:szCs w:val="24"/>
        </w:rPr>
      </w:pPr>
      <w:bookmarkStart w:id="2" w:name="_Toc31702"/>
      <w:r>
        <w:rPr>
          <w:rFonts w:hint="eastAsia" w:ascii="宋体" w:hAnsi="宋体"/>
          <w:b/>
          <w:bCs/>
          <w:sz w:val="24"/>
          <w:szCs w:val="24"/>
        </w:rPr>
        <w:t>1.1项目背景</w:t>
      </w:r>
      <w:bookmarkEnd w:id="2"/>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网络安全等级保护是我国关于信息安全的基本政策，《国家信息化领导小组关于加强信息安全保障工作的意见》(中办发(2003) 27号）明确要求我国信息安全保障工作实行等级保护制度。2007年6月发布的关于印发《信息安全等级保护管理办法》的通知(公通字(2007)43号）进一步强调了开展网络安全等级保护工作的重要意义，规定了实施网络安全等级保护制度的原则、内容、职责分工、基本要求和实施计划，确立了实施网络安全等级保护工作的操作办法。</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2017年6月国家颁布实施《中华人民共和国网络安全法》，进一步明确，国家实行网络安全等级保护制度，正式将网络安全等级保护制度写进国家法律，从法治层面推动网络安全等级保护制度的落实。</w:t>
      </w:r>
    </w:p>
    <w:p>
      <w:pPr>
        <w:spacing w:line="380" w:lineRule="exact"/>
        <w:ind w:firstLine="480" w:firstLineChars="200"/>
        <w:rPr>
          <w:rFonts w:ascii="宋体" w:hAnsi="宋体"/>
          <w:b/>
          <w:bCs/>
          <w:sz w:val="24"/>
          <w:szCs w:val="24"/>
        </w:rPr>
      </w:pPr>
      <w:bookmarkStart w:id="3" w:name="_Toc30416"/>
      <w:r>
        <w:rPr>
          <w:rFonts w:hint="eastAsia" w:ascii="宋体" w:hAnsi="宋体"/>
          <w:b/>
          <w:bCs/>
          <w:sz w:val="24"/>
          <w:szCs w:val="24"/>
        </w:rPr>
        <w:t>1.2项目概述</w:t>
      </w:r>
      <w:bookmarkEnd w:id="3"/>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为深入贯彻落实习近平总书记关于网络安全工作的重要指示精神和《网络安全法》规定，根据网信办、公安部、上级主管部门关于网络安全的指示要求，我单位将委托第三方有测评资质的测评机构，对</w:t>
      </w:r>
      <w:r>
        <w:rPr>
          <w:rFonts w:hint="eastAsia" w:ascii="宋体" w:hAnsi="宋体" w:eastAsia="宋体" w:cs="宋体"/>
          <w:sz w:val="24"/>
          <w:highlight w:val="yellow"/>
          <w:lang w:val="en-US" w:eastAsia="zh-CN"/>
        </w:rPr>
        <w:t>马鞍山市中医院</w:t>
      </w:r>
      <w:r>
        <w:rPr>
          <w:rFonts w:hint="eastAsia" w:ascii="宋体" w:hAnsi="宋体" w:eastAsia="宋体" w:cs="宋体"/>
          <w:sz w:val="24"/>
          <w:lang w:val="zh-CN" w:eastAsia="zh-CN"/>
        </w:rPr>
        <w:t>按照等级保护基本要求开展网络安全等级保护测评，出具相应的测评报告。</w:t>
      </w:r>
    </w:p>
    <w:p>
      <w:pPr>
        <w:spacing w:line="380" w:lineRule="exact"/>
        <w:ind w:firstLine="480" w:firstLineChars="200"/>
        <w:rPr>
          <w:rFonts w:ascii="宋体" w:hAnsi="宋体"/>
          <w:b/>
          <w:bCs/>
          <w:sz w:val="24"/>
          <w:szCs w:val="24"/>
        </w:rPr>
      </w:pPr>
      <w:bookmarkStart w:id="4" w:name="_Toc25919"/>
      <w:r>
        <w:rPr>
          <w:rFonts w:hint="eastAsia" w:ascii="宋体" w:hAnsi="宋体"/>
          <w:b/>
          <w:bCs/>
          <w:sz w:val="24"/>
          <w:szCs w:val="24"/>
        </w:rPr>
        <w:t>1.3.项目目标</w:t>
      </w:r>
      <w:bookmarkEnd w:id="4"/>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通过网络安全等级保护测评，全面了解和掌握</w:t>
      </w:r>
      <w:bookmarkStart w:id="15" w:name="_GoBack"/>
      <w:r>
        <w:rPr>
          <w:rFonts w:hint="eastAsia" w:ascii="宋体" w:hAnsi="宋体" w:eastAsia="宋体" w:cs="宋体"/>
          <w:sz w:val="24"/>
          <w:highlight w:val="yellow"/>
          <w:lang w:val="en-US" w:eastAsia="zh-CN"/>
        </w:rPr>
        <w:t>马鞍山市中医院</w:t>
      </w:r>
      <w:bookmarkEnd w:id="15"/>
      <w:r>
        <w:rPr>
          <w:rFonts w:hint="eastAsia" w:ascii="宋体" w:hAnsi="宋体" w:eastAsia="宋体" w:cs="宋体"/>
          <w:sz w:val="24"/>
          <w:lang w:val="zh-CN" w:eastAsia="zh-CN"/>
        </w:rPr>
        <w:t>的安全保护状况，找出其与《网络安全等级保护基本要求》对应级别的差距。同时从风险管理角度，运用科学的方法和手段，系统地分析被测系统所面临的威胁及其存在的脆弱性，评估安全事件一旦发生可能造成的危害程度，提出有针对性的抵御威胁的防护策略和整改措施，为防范和化解网络安全风险、最大限度地防止由于网络安全事件引发公共安全事故以及全面提升单位网络安全防护水平提供科学依据。</w:t>
      </w:r>
    </w:p>
    <w:p>
      <w:pPr>
        <w:spacing w:line="380" w:lineRule="exact"/>
        <w:ind w:firstLine="480" w:firstLineChars="200"/>
        <w:rPr>
          <w:rFonts w:ascii="宋体" w:hAnsi="宋体"/>
          <w:b/>
          <w:bCs/>
          <w:sz w:val="24"/>
          <w:szCs w:val="24"/>
        </w:rPr>
      </w:pPr>
      <w:bookmarkStart w:id="5" w:name="_Toc16266"/>
      <w:r>
        <w:rPr>
          <w:rFonts w:hint="eastAsia" w:ascii="宋体" w:hAnsi="宋体"/>
          <w:b/>
          <w:bCs/>
          <w:sz w:val="24"/>
          <w:szCs w:val="24"/>
        </w:rPr>
        <w:t>2.项目实施</w:t>
      </w:r>
      <w:bookmarkEnd w:id="5"/>
    </w:p>
    <w:p>
      <w:pPr>
        <w:spacing w:line="380" w:lineRule="exact"/>
        <w:ind w:firstLine="480" w:firstLineChars="200"/>
        <w:rPr>
          <w:rFonts w:ascii="宋体" w:hAnsi="宋体"/>
          <w:b/>
          <w:bCs/>
          <w:sz w:val="24"/>
          <w:szCs w:val="24"/>
        </w:rPr>
      </w:pPr>
      <w:bookmarkStart w:id="6" w:name="_Toc13520"/>
      <w:r>
        <w:rPr>
          <w:rFonts w:hint="eastAsia" w:ascii="宋体" w:hAnsi="宋体"/>
          <w:b/>
          <w:bCs/>
          <w:sz w:val="24"/>
          <w:szCs w:val="24"/>
        </w:rPr>
        <w:t>2.1实施依据</w:t>
      </w:r>
      <w:bookmarkEnd w:id="6"/>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本次项目实施，主要遵循以下国家标准：</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《信息安全技术 网络安全等级保护基本要求》GB/T 22239-2019</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《信息安全技术 网络安全等级保护测评要求》GB/T 28448-2019</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《信息安全技术 网络安全等级保护测评过程指南》GB/T 28449-2018</w:t>
      </w:r>
    </w:p>
    <w:p>
      <w:pPr>
        <w:spacing w:line="380" w:lineRule="exact"/>
        <w:ind w:firstLine="480" w:firstLineChars="200"/>
        <w:rPr>
          <w:rFonts w:ascii="宋体" w:hAnsi="宋体"/>
          <w:b/>
          <w:bCs/>
          <w:sz w:val="24"/>
          <w:szCs w:val="24"/>
        </w:rPr>
      </w:pPr>
      <w:bookmarkStart w:id="7" w:name="_Toc10683"/>
      <w:r>
        <w:rPr>
          <w:rFonts w:hint="eastAsia" w:ascii="宋体" w:hAnsi="宋体"/>
          <w:b/>
          <w:bCs/>
          <w:sz w:val="24"/>
          <w:szCs w:val="24"/>
        </w:rPr>
        <w:t>2.2实施原则</w:t>
      </w:r>
      <w:bookmarkEnd w:id="7"/>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（1）保密原则：对测评的过程数据和结果数据严格保密，未经授权不得泄露给任何单位和个人，不得利用此数据进行任何侵害招标人的行为，否则招标人有权追究中标人的责任。</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（2）标准性原则：测评方案的设计与实施应依据国家等级保护的相关标准进行。</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（3）规范性原则：中标人的工作中的过程和文档，具有很好的规范性，可以便于项目的跟踪和控制。</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（4）可控性原则：测评服务的进度要跟上进度表的安排，保证招标人对于测评工作的可控性。</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（5）整体性原则：测评的范围和内容应当整体全面，包括国家等级保护相关要求涉及的各个层面。</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（6）最小影响原则：测评工作应尽可能小的影响系统和网络，并在可控范围内；测评工作不能对现有信息系统的正常运行、业务的正常开展产生任何影响。</w:t>
      </w:r>
    </w:p>
    <w:p>
      <w:pPr>
        <w:spacing w:line="380" w:lineRule="exact"/>
        <w:ind w:firstLine="480" w:firstLineChars="200"/>
        <w:rPr>
          <w:rFonts w:ascii="宋体" w:hAnsi="宋体"/>
          <w:b/>
          <w:bCs/>
          <w:sz w:val="24"/>
          <w:szCs w:val="24"/>
        </w:rPr>
      </w:pPr>
      <w:bookmarkStart w:id="8" w:name="_Toc26934"/>
      <w:r>
        <w:rPr>
          <w:rFonts w:hint="eastAsia" w:ascii="宋体" w:hAnsi="宋体"/>
          <w:b/>
          <w:bCs/>
          <w:sz w:val="24"/>
          <w:szCs w:val="24"/>
        </w:rPr>
        <w:t>2.3实施范围</w:t>
      </w:r>
      <w:bookmarkEnd w:id="8"/>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本次项目主要对以下系统，按照已定级标准，开展网络安全等级保护测评：</w:t>
      </w:r>
    </w:p>
    <w:tbl>
      <w:tblPr>
        <w:tblStyle w:val="15"/>
        <w:tblpPr w:leftFromText="180" w:rightFromText="180" w:vertAnchor="text" w:horzAnchor="page" w:tblpX="1331" w:tblpY="163"/>
        <w:tblOverlap w:val="never"/>
        <w:tblW w:w="9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961"/>
        <w:gridCol w:w="1559"/>
        <w:gridCol w:w="2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959" w:type="dxa"/>
            <w:tcBorders>
              <w:bottom w:val="single" w:color="000000" w:sz="4" w:space="0"/>
            </w:tcBorders>
            <w:shd w:val="clear" w:color="auto" w:fill="D7D7D7"/>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序号</w:t>
            </w:r>
          </w:p>
        </w:tc>
        <w:tc>
          <w:tcPr>
            <w:tcW w:w="4961" w:type="dxa"/>
            <w:tcBorders>
              <w:bottom w:val="single" w:color="000000" w:sz="4" w:space="0"/>
            </w:tcBorders>
            <w:shd w:val="clear" w:color="auto" w:fill="D7D7D7"/>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测评系统名称</w:t>
            </w:r>
          </w:p>
        </w:tc>
        <w:tc>
          <w:tcPr>
            <w:tcW w:w="1559" w:type="dxa"/>
            <w:tcBorders>
              <w:bottom w:val="single" w:color="000000" w:sz="4" w:space="0"/>
            </w:tcBorders>
            <w:shd w:val="clear" w:color="auto" w:fill="D7D7D7"/>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定级情况</w:t>
            </w:r>
          </w:p>
        </w:tc>
        <w:tc>
          <w:tcPr>
            <w:tcW w:w="2303" w:type="dxa"/>
            <w:tcBorders>
              <w:bottom w:val="single" w:color="000000" w:sz="4" w:space="0"/>
            </w:tcBorders>
            <w:shd w:val="clear" w:color="auto" w:fill="D7D7D7"/>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简要说明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4961" w:type="dxa"/>
            <w:noWrap w:val="0"/>
            <w:vAlign w:val="center"/>
          </w:tcPr>
          <w:p>
            <w:pPr>
              <w:spacing w:line="340" w:lineRule="exact"/>
              <w:jc w:val="center"/>
              <w:rPr>
                <w:rFonts w:hint="default" w:asciiTheme="minorEastAsia" w:hAnsiTheme="minorEastAsia" w:eastAsiaTheme="minorEastAsia" w:cstheme="minorEastAsia"/>
                <w:b w:val="0"/>
                <w:bCs w:val="0"/>
                <w:sz w:val="24"/>
                <w:szCs w:val="24"/>
                <w:highlight w:val="yellow"/>
                <w:lang w:val="en-US" w:eastAsia="zh-CN"/>
              </w:rPr>
            </w:pPr>
            <w:r>
              <w:rPr>
                <w:rFonts w:hint="eastAsia" w:asciiTheme="minorEastAsia" w:hAnsiTheme="minorEastAsia" w:eastAsiaTheme="minorEastAsia" w:cstheme="minorEastAsia"/>
                <w:b w:val="0"/>
                <w:bCs w:val="0"/>
                <w:sz w:val="24"/>
                <w:szCs w:val="24"/>
                <w:highlight w:val="yellow"/>
                <w:lang w:val="en-US" w:eastAsia="zh-CN"/>
              </w:rPr>
              <w:t>医院综合医疗管理系统</w:t>
            </w:r>
          </w:p>
        </w:tc>
        <w:tc>
          <w:tcPr>
            <w:tcW w:w="1559"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三级</w:t>
            </w:r>
          </w:p>
        </w:tc>
        <w:tc>
          <w:tcPr>
            <w:tcW w:w="2303"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bookmarkStart w:id="9" w:name="_Toc15044"/>
            <w:r>
              <w:rPr>
                <w:rFonts w:hint="eastAsia" w:asciiTheme="minorEastAsia" w:hAnsiTheme="minorEastAsia" w:eastAsiaTheme="minorEastAsia" w:cstheme="minorEastAsia"/>
                <w:b w:val="0"/>
                <w:bCs w:val="0"/>
                <w:sz w:val="24"/>
                <w:szCs w:val="24"/>
                <w:lang w:val="en-US" w:eastAsia="zh-CN"/>
              </w:rPr>
              <w:t>2</w:t>
            </w:r>
          </w:p>
        </w:tc>
        <w:tc>
          <w:tcPr>
            <w:tcW w:w="4961" w:type="dxa"/>
            <w:noWrap w:val="0"/>
            <w:vAlign w:val="center"/>
          </w:tcPr>
          <w:p>
            <w:pPr>
              <w:spacing w:line="340" w:lineRule="exact"/>
              <w:jc w:val="center"/>
              <w:rPr>
                <w:rFonts w:hint="eastAsia" w:asciiTheme="minorEastAsia" w:hAnsiTheme="minorEastAsia" w:eastAsiaTheme="minorEastAsia" w:cstheme="minorEastAsia"/>
                <w:b w:val="0"/>
                <w:bCs w:val="0"/>
                <w:sz w:val="24"/>
                <w:szCs w:val="24"/>
                <w:highlight w:val="yellow"/>
                <w:lang w:val="en-US" w:eastAsia="zh-CN"/>
              </w:rPr>
            </w:pPr>
            <w:r>
              <w:rPr>
                <w:rFonts w:hint="eastAsia" w:asciiTheme="minorEastAsia" w:hAnsiTheme="minorEastAsia" w:eastAsiaTheme="minorEastAsia" w:cstheme="minorEastAsia"/>
                <w:b w:val="0"/>
                <w:bCs w:val="0"/>
                <w:sz w:val="24"/>
                <w:szCs w:val="24"/>
                <w:highlight w:val="yellow"/>
                <w:lang w:val="en-US" w:eastAsia="zh-CN"/>
              </w:rPr>
              <w:t>互联网医院综合医疗运营管理平台</w:t>
            </w:r>
          </w:p>
        </w:tc>
        <w:tc>
          <w:tcPr>
            <w:tcW w:w="1559"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三级</w:t>
            </w:r>
          </w:p>
        </w:tc>
        <w:tc>
          <w:tcPr>
            <w:tcW w:w="2303" w:type="dxa"/>
            <w:noWrap w:val="0"/>
            <w:vAlign w:val="center"/>
          </w:tcPr>
          <w:p>
            <w:pPr>
              <w:spacing w:line="340" w:lineRule="exact"/>
              <w:jc w:val="center"/>
              <w:rPr>
                <w:rFonts w:hint="eastAsia" w:asciiTheme="minorEastAsia" w:hAnsiTheme="minorEastAsia" w:eastAsiaTheme="minorEastAsia" w:cstheme="minorEastAsia"/>
                <w:b w:val="0"/>
                <w:bCs w:val="0"/>
                <w:sz w:val="24"/>
                <w:szCs w:val="24"/>
                <w:lang w:val="en-US" w:eastAsia="zh-CN"/>
              </w:rPr>
            </w:pPr>
          </w:p>
        </w:tc>
      </w:tr>
    </w:tbl>
    <w:p>
      <w:pPr>
        <w:spacing w:line="380" w:lineRule="exact"/>
        <w:ind w:firstLine="480" w:firstLineChars="200"/>
        <w:rPr>
          <w:rFonts w:ascii="宋体" w:hAnsi="宋体"/>
          <w:b/>
          <w:bCs/>
          <w:sz w:val="24"/>
          <w:szCs w:val="24"/>
        </w:rPr>
      </w:pPr>
      <w:r>
        <w:rPr>
          <w:rFonts w:hint="eastAsia" w:ascii="宋体" w:hAnsi="宋体"/>
          <w:b/>
          <w:bCs/>
          <w:sz w:val="24"/>
          <w:szCs w:val="24"/>
        </w:rPr>
        <w:t>2.4实施内容</w:t>
      </w:r>
      <w:bookmarkEnd w:id="9"/>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对已定级备案的系统进行十个安全层面的网络安全等级保护测评（安全物理环境、安全通信网络、安全区域边界、安全计算环境、安全管理中心、安全管理制度、安全管理机构、安全管理人员、安全建设管理、安全运维管理）。</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测评包括两个方面的内容：一是安全控制测评，主要测评信息安全等级保护要求的基本安全控制在信息系统中的实施配置情况；二是系统整体测评，主要测评分析信息系统的整体安全性。其中，安全控制测评是信息系统整体安全测评的基础。</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安全控制测评使用测评单元方式组织，分为安全技术测评和安全管理测评两大类。安全技术测评包括：安全物理环境、安全通信网络、安全区域边界、安全计算环境、安全管理中心五个层面上的安全控制测评；安全管理测评包括：安全管理制度、安全管理机构、安全管理人员、安全建设管理、安全运维管理五个方面的安全控制测评。具体见下图2.1：</w:t>
      </w:r>
    </w:p>
    <w:p>
      <w:pPr>
        <w:rPr>
          <w:rFonts w:ascii="仿宋_GB2312" w:hAnsi="仿宋" w:eastAsia="仿宋_GB2312" w:cs="宋体"/>
          <w:sz w:val="28"/>
          <w:szCs w:val="28"/>
        </w:rPr>
      </w:pPr>
      <w:r>
        <w:rPr>
          <w:rFonts w:hint="eastAsia"/>
        </w:rPr>
        <w:object>
          <v:shape id="_x0000_i1025" o:spt="75" type="#_x0000_t75" style="height:213.75pt;width:414pt;" o:ole="t" filled="f" o:preferrelative="t" stroked="f" coordsize="21600,21600">
            <v:path/>
            <v:fill on="f" focussize="0,0"/>
            <v:stroke on="f" joinstyle="miter"/>
            <v:imagedata r:id="rId8" o:title=""/>
            <o:lock v:ext="edit" aspectratio="f"/>
            <w10:wrap type="none"/>
            <w10:anchorlock/>
          </v:shape>
          <o:OLEObject Type="Embed" ProgID="Visio.Drawing.15" ShapeID="_x0000_i1025" DrawAspect="Content" ObjectID="_1468075725" r:id="rId7">
            <o:LockedField>false</o:LockedField>
          </o:OLEObject>
        </w:object>
      </w:r>
    </w:p>
    <w:p>
      <w:pPr>
        <w:spacing w:line="592" w:lineRule="exact"/>
        <w:ind w:firstLine="420" w:firstLineChars="200"/>
        <w:jc w:val="center"/>
        <w:rPr>
          <w:rFonts w:ascii="宋体" w:hAnsi="宋体"/>
        </w:rPr>
      </w:pPr>
      <w:r>
        <w:rPr>
          <w:rFonts w:hint="eastAsia" w:ascii="宋体" w:hAnsi="宋体"/>
        </w:rPr>
        <w:t>图2.1  网络安全等级保护测评框架</w:t>
      </w:r>
    </w:p>
    <w:p>
      <w:pPr>
        <w:spacing w:line="380" w:lineRule="exact"/>
        <w:ind w:firstLine="480" w:firstLineChars="200"/>
        <w:rPr>
          <w:rFonts w:ascii="宋体" w:hAnsi="宋体"/>
          <w:b/>
          <w:bCs/>
          <w:sz w:val="24"/>
          <w:szCs w:val="24"/>
        </w:rPr>
      </w:pPr>
      <w:bookmarkStart w:id="10" w:name="_Toc5644"/>
      <w:r>
        <w:rPr>
          <w:rFonts w:hint="eastAsia" w:ascii="宋体" w:hAnsi="宋体"/>
          <w:b/>
          <w:bCs/>
          <w:sz w:val="24"/>
          <w:szCs w:val="24"/>
        </w:rPr>
        <w:t>3.过程控制</w:t>
      </w:r>
      <w:bookmarkEnd w:id="10"/>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网络安全等级保护测评分为测评准备、方案编制、现场测评、分析与报告编制四个阶段，各阶段主要工作如下：</w:t>
      </w:r>
    </w:p>
    <w:p>
      <w:pPr>
        <w:spacing w:line="380" w:lineRule="exact"/>
        <w:ind w:firstLine="480" w:firstLineChars="200"/>
        <w:rPr>
          <w:rFonts w:ascii="宋体" w:hAnsi="宋体"/>
          <w:b/>
          <w:bCs/>
          <w:sz w:val="24"/>
          <w:szCs w:val="24"/>
        </w:rPr>
      </w:pPr>
      <w:bookmarkStart w:id="11" w:name="_Toc21643"/>
      <w:r>
        <w:rPr>
          <w:rFonts w:hint="eastAsia" w:ascii="宋体" w:hAnsi="宋体"/>
          <w:b/>
          <w:bCs/>
          <w:sz w:val="24"/>
          <w:szCs w:val="24"/>
        </w:rPr>
        <w:t>3.1测评准备阶段</w:t>
      </w:r>
      <w:bookmarkEnd w:id="11"/>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主要包括以下工作内容：</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测评项目组组建：明确项目经理、测评人员及职责分工。</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项目计划书编制：项目计划书包含项目概述、工作依据、技术思路、工作内容和项目组织等。</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信息系统调研：通过查阅被测系统已有资料或使用调查表格的方式，了解整个系统的构成和保护情况，明确被测系统的范围（特别是信息系统的边界），了解被测系统的详细构成，包括网络拓扑、业务应用、业务流程、设备信息（服务器、数据库、网络设备、安全设备、数据库等）、管理制度等。</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工具和表单准备：根据被测系统的实际情况，准备测评工具和各类测评表单。</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输出文档：《项目计划书》、《系统调研表》、《工具清单》、各类表单。</w:t>
      </w:r>
    </w:p>
    <w:p>
      <w:pPr>
        <w:spacing w:line="380" w:lineRule="exact"/>
        <w:ind w:firstLine="480" w:firstLineChars="200"/>
        <w:rPr>
          <w:rFonts w:ascii="宋体" w:hAnsi="宋体"/>
          <w:b/>
          <w:bCs/>
          <w:sz w:val="24"/>
          <w:szCs w:val="24"/>
        </w:rPr>
      </w:pPr>
      <w:bookmarkStart w:id="12" w:name="_Toc10099"/>
      <w:r>
        <w:rPr>
          <w:rFonts w:hint="eastAsia" w:ascii="宋体" w:hAnsi="宋体"/>
          <w:b/>
          <w:bCs/>
          <w:sz w:val="24"/>
          <w:szCs w:val="24"/>
        </w:rPr>
        <w:t>3.2方案编制阶段</w:t>
      </w:r>
      <w:bookmarkEnd w:id="12"/>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主要包括以下工作内容：</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测评对象确定：根据已经了解到的被测系统信息，分析整个被测系统及其涉及的业务应用系统，确定出本次测评的测评对象。</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测评指标确定：根据已经了解到的被测系统定级结果，确定出本次测评的测评指标。</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测评工具接入点确定：确定需要进行工具测试的测评对象，选择测试路径，根据测试路径确定测试工具的接入点。</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测评内容确定：确定现场测评的具体实施内容，即单元测评内容。</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测评实施手册开发：编制测评实施手册，详细描述现场测评的工具、方法和操作步骤等，具体指导测评人员如何进行测评活动。</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输出文档：《测评方案》、《测评指导书》。</w:t>
      </w:r>
    </w:p>
    <w:p>
      <w:pPr>
        <w:spacing w:line="380" w:lineRule="exact"/>
        <w:ind w:firstLine="480" w:firstLineChars="200"/>
        <w:rPr>
          <w:rFonts w:ascii="宋体" w:hAnsi="宋体"/>
          <w:b/>
          <w:bCs/>
          <w:sz w:val="24"/>
          <w:szCs w:val="24"/>
        </w:rPr>
      </w:pPr>
      <w:bookmarkStart w:id="13" w:name="_Toc17727"/>
      <w:r>
        <w:rPr>
          <w:rFonts w:hint="eastAsia" w:ascii="宋体" w:hAnsi="宋体"/>
          <w:b/>
          <w:bCs/>
          <w:sz w:val="24"/>
          <w:szCs w:val="24"/>
        </w:rPr>
        <w:t>3.3现场测评阶段</w:t>
      </w:r>
      <w:bookmarkEnd w:id="13"/>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现场测评主要指单项测评，分别从技术上的安全物理环境、安全通信网络、安全区域边界、安全计算环境、安全管理中心和管理上的安全管理机构、安全管理制度、安全管理人员、安全建设管理和安全运维管理分别进行。</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安全物理环境：通过人员访谈、文档审查和实地察看的方式测评信息系统的物理安全保障情况。主要涉及对象为物理基础设施。在内容上，安全物理环境层面测评实施过程涉及10个测评单元，包括：物理位置选择、物理访问控制、防盗窃和防破坏、防雷击、防火、防水和防潮、防静电、温湿度控制、电力供应、电磁防护等。</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zh-CN" w:eastAsia="zh-CN"/>
        </w:rPr>
        <w:t>安全通信网络：通过访人员访谈、配置检查和工具测试的方式测评信息系统的网络通信安全保障情况。主要涉及对象为网络整体架构、网络拓扑结构、通信传输方式等。在内容上，安全通信网络层面测评实施过程涉及3个测评单元，包括：网络架构、通信传输、可信验证。</w:t>
      </w:r>
    </w:p>
    <w:p>
      <w:pPr>
        <w:numPr>
          <w:ilvl w:val="0"/>
          <w:numId w:val="1"/>
        </w:numPr>
        <w:spacing w:line="480" w:lineRule="exact"/>
        <w:ind w:left="0" w:leftChars="0" w:firstLine="0" w:firstLineChars="0"/>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商务要求</w:t>
      </w:r>
    </w:p>
    <w:bookmarkEnd w:id="0"/>
    <w:p>
      <w:pPr>
        <w:spacing w:line="460" w:lineRule="exact"/>
        <w:ind w:firstLine="600"/>
        <w:rPr>
          <w:rFonts w:hint="eastAsia" w:ascii="宋体" w:hAnsi="宋体" w:eastAsia="宋体" w:cs="宋体"/>
          <w:sz w:val="24"/>
          <w:highlight w:val="yellow"/>
          <w:lang w:val="en-US" w:eastAsia="zh-CN"/>
        </w:rPr>
      </w:pPr>
      <w:bookmarkStart w:id="14" w:name="OLE_LINK1"/>
      <w:r>
        <w:rPr>
          <w:rFonts w:hint="default" w:asciiTheme="minorEastAsia" w:hAnsiTheme="minorEastAsia" w:eastAsiaTheme="minorEastAsia" w:cstheme="minorEastAsia"/>
          <w:b w:val="0"/>
          <w:bCs w:val="0"/>
          <w:sz w:val="24"/>
          <w:szCs w:val="24"/>
          <w:lang w:val="zh-CN" w:eastAsia="zh-CN"/>
        </w:rPr>
        <w:t>1、</w:t>
      </w:r>
      <w:r>
        <w:rPr>
          <w:rFonts w:hint="eastAsia" w:ascii="宋体" w:hAnsi="宋体" w:eastAsia="宋体" w:cs="Times New Roman"/>
          <w:sz w:val="24"/>
          <w:szCs w:val="24"/>
          <w:highlight w:val="yellow"/>
          <w:lang w:val="en-US" w:eastAsia="zh-CN"/>
        </w:rPr>
        <w:t>进</w:t>
      </w:r>
      <w:r>
        <w:rPr>
          <w:rFonts w:hint="eastAsia" w:ascii="宋体" w:hAnsi="宋体" w:eastAsia="宋体" w:cs="宋体"/>
          <w:sz w:val="24"/>
          <w:highlight w:val="yellow"/>
          <w:lang w:val="en-US" w:eastAsia="zh-CN"/>
        </w:rPr>
        <w:t>场时间：成交供应商自合同签订之日起15日内完成测评工作，提交测评报告并通过验收。</w:t>
      </w:r>
    </w:p>
    <w:p>
      <w:pPr>
        <w:spacing w:line="460" w:lineRule="exact"/>
        <w:ind w:firstLine="600"/>
        <w:rPr>
          <w:rFonts w:hint="eastAsia" w:ascii="宋体" w:hAnsi="宋体" w:eastAsia="宋体" w:cs="宋体"/>
          <w:sz w:val="24"/>
          <w:highlight w:val="yellow"/>
          <w:lang w:val="en-US"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yellow"/>
          <w:lang w:val="en-US" w:eastAsia="zh-CN"/>
        </w:rPr>
        <w:t>服务期限：自合同签订之日起1年内。</w:t>
      </w:r>
    </w:p>
    <w:p>
      <w:pPr>
        <w:spacing w:line="460" w:lineRule="exact"/>
        <w:ind w:firstLine="600"/>
        <w:rPr>
          <w:rFonts w:hint="default" w:ascii="宋体" w:hAnsi="宋体" w:eastAsia="宋体" w:cs="宋体"/>
          <w:sz w:val="24"/>
          <w:lang w:val="en-US" w:eastAsia="zh-CN"/>
        </w:rPr>
      </w:pPr>
      <w:r>
        <w:rPr>
          <w:rFonts w:hint="eastAsia" w:ascii="宋体" w:hAnsi="宋体" w:eastAsia="宋体" w:cs="宋体"/>
          <w:sz w:val="24"/>
          <w:lang w:val="en-US" w:eastAsia="zh-CN"/>
        </w:rPr>
        <w:t>3、</w:t>
      </w:r>
      <w:bookmarkEnd w:id="14"/>
      <w:r>
        <w:rPr>
          <w:rFonts w:hint="eastAsia" w:ascii="宋体" w:hAnsi="宋体" w:eastAsia="宋体" w:cs="宋体"/>
          <w:sz w:val="24"/>
          <w:lang w:val="zh-CN" w:eastAsia="zh-CN"/>
        </w:rPr>
        <w:t>服务地点：马鞍山市</w:t>
      </w:r>
      <w:r>
        <w:rPr>
          <w:rFonts w:hint="eastAsia" w:ascii="宋体" w:hAnsi="宋体" w:eastAsia="宋体" w:cs="宋体"/>
          <w:sz w:val="24"/>
          <w:lang w:val="en-US" w:eastAsia="zh-CN"/>
        </w:rPr>
        <w:t>中医院</w:t>
      </w:r>
      <w:r>
        <w:rPr>
          <w:rFonts w:hint="eastAsia" w:ascii="宋体" w:hAnsi="宋体" w:eastAsia="宋体" w:cs="宋体"/>
          <w:sz w:val="24"/>
          <w:lang w:val="zh-CN" w:eastAsia="zh-CN"/>
        </w:rPr>
        <w:t>（招标人指定地点）。</w:t>
      </w:r>
    </w:p>
    <w:p>
      <w:pPr>
        <w:spacing w:line="460" w:lineRule="exact"/>
        <w:ind w:firstLine="600"/>
        <w:rPr>
          <w:rFonts w:hint="eastAsia" w:ascii="宋体" w:hAnsi="宋体" w:eastAsia="宋体" w:cs="宋体"/>
          <w:sz w:val="24"/>
          <w:highlight w:val="yellow"/>
          <w:lang w:val="zh-CN" w:eastAsia="zh-CN"/>
        </w:rPr>
      </w:pPr>
      <w:r>
        <w:rPr>
          <w:rFonts w:hint="default" w:ascii="宋体" w:hAnsi="宋体" w:eastAsia="宋体" w:cs="宋体"/>
          <w:sz w:val="24"/>
          <w:lang w:val="zh-CN" w:eastAsia="zh-CN"/>
        </w:rPr>
        <w:t>4、</w:t>
      </w:r>
      <w:r>
        <w:rPr>
          <w:rFonts w:hint="eastAsia" w:ascii="宋体" w:hAnsi="宋体" w:eastAsia="宋体" w:cs="宋体"/>
          <w:sz w:val="24"/>
          <w:highlight w:val="yellow"/>
          <w:lang w:val="zh-CN" w:eastAsia="zh-CN"/>
        </w:rPr>
        <w:t>付款方式：</w:t>
      </w:r>
      <w:r>
        <w:rPr>
          <w:rFonts w:hint="eastAsia" w:ascii="宋体" w:hAnsi="宋体" w:eastAsia="宋体" w:cs="宋体"/>
          <w:sz w:val="24"/>
          <w:highlight w:val="yellow"/>
          <w:lang w:val="en-US" w:eastAsia="zh-CN"/>
        </w:rPr>
        <w:t>成交供应商完成测评并出具马鞍山市中医院综合医疗管理系统、互联网医院综合医疗运营管理平台评测报告后，采购人在30日内按合同支付费用。</w:t>
      </w:r>
    </w:p>
    <w:p>
      <w:pPr>
        <w:spacing w:line="460" w:lineRule="exact"/>
        <w:ind w:firstLine="600"/>
        <w:rPr>
          <w:rFonts w:hint="eastAsia" w:ascii="宋体" w:hAnsi="宋体" w:eastAsia="宋体" w:cs="宋体"/>
          <w:color w:val="FF0000"/>
          <w:sz w:val="24"/>
          <w:lang w:val="en-US" w:eastAsia="zh-CN"/>
        </w:rPr>
      </w:pPr>
      <w:r>
        <w:rPr>
          <w:rFonts w:hint="default" w:ascii="宋体" w:hAnsi="宋体" w:eastAsia="宋体" w:cs="宋体"/>
          <w:color w:val="FF0000"/>
          <w:sz w:val="24"/>
          <w:lang w:val="zh-CN" w:eastAsia="zh-CN"/>
        </w:rPr>
        <w:t>5、</w:t>
      </w:r>
      <w:r>
        <w:rPr>
          <w:rFonts w:hint="eastAsia" w:ascii="宋体" w:hAnsi="宋体" w:eastAsia="宋体" w:cs="宋体"/>
          <w:color w:val="FF0000"/>
          <w:sz w:val="24"/>
          <w:lang w:val="en-US" w:eastAsia="zh-CN"/>
        </w:rPr>
        <w:t>本项目投标人特定资格要求：投标人持有</w:t>
      </w:r>
      <w:r>
        <w:rPr>
          <w:rFonts w:hint="eastAsia" w:ascii="宋体" w:hAnsi="宋体" w:eastAsia="宋体" w:cs="宋体"/>
          <w:color w:val="FF0000"/>
          <w:sz w:val="24"/>
          <w:highlight w:val="yellow"/>
          <w:lang w:val="en-US" w:eastAsia="zh-CN"/>
        </w:rPr>
        <w:t>《网络安全等级测评与检测评估机构服务认证证书》（证书在有效期内）</w:t>
      </w:r>
      <w:r>
        <w:rPr>
          <w:rFonts w:hint="eastAsia" w:ascii="宋体" w:hAnsi="宋体" w:eastAsia="宋体" w:cs="宋体"/>
          <w:color w:val="FF0000"/>
          <w:sz w:val="24"/>
          <w:lang w:val="en-US" w:eastAsia="zh-CN"/>
        </w:rPr>
        <w:t>，且未被主管部门暂停业务或处于整改期内。</w:t>
      </w:r>
    </w:p>
    <w:p>
      <w:pPr>
        <w:spacing w:line="460" w:lineRule="exact"/>
        <w:ind w:firstLine="600"/>
        <w:rPr>
          <w:rFonts w:hint="eastAsia" w:ascii="宋体" w:hAnsi="宋体" w:eastAsia="宋体" w:cs="宋体"/>
          <w:sz w:val="24"/>
          <w:lang w:val="zh-CN"/>
        </w:rPr>
      </w:pPr>
      <w:r>
        <w:rPr>
          <w:rFonts w:hint="default" w:ascii="宋体" w:hAnsi="宋体" w:eastAsia="宋体" w:cs="宋体"/>
          <w:sz w:val="24"/>
          <w:lang w:val="zh-CN" w:eastAsia="zh-CN"/>
        </w:rPr>
        <w:t>6、</w:t>
      </w:r>
      <w:r>
        <w:rPr>
          <w:rFonts w:hint="eastAsia" w:ascii="宋体" w:hAnsi="宋体" w:eastAsia="宋体" w:cs="宋体"/>
          <w:sz w:val="24"/>
          <w:lang w:val="zh-CN"/>
        </w:rPr>
        <w:t>服务规范：有国家标准的执行国家标准；无国家标准的执行行业标准；无行业标准的执行地方标准；无地方标准的执行企业标准。</w:t>
      </w:r>
    </w:p>
    <w:p>
      <w:pPr>
        <w:spacing w:line="460" w:lineRule="exact"/>
        <w:ind w:firstLine="600"/>
        <w:rPr>
          <w:rFonts w:hint="eastAsia" w:ascii="宋体" w:hAnsi="宋体" w:eastAsia="宋体" w:cs="宋体"/>
          <w:sz w:val="24"/>
          <w:lang w:val="zh-CN" w:eastAsia="zh-CN"/>
        </w:rPr>
      </w:pPr>
      <w:r>
        <w:rPr>
          <w:rFonts w:hint="default" w:ascii="宋体" w:hAnsi="宋体" w:eastAsia="宋体" w:cs="宋体"/>
          <w:sz w:val="24"/>
          <w:lang w:val="zh-CN" w:eastAsia="zh-CN"/>
        </w:rPr>
        <w:t>7、</w:t>
      </w:r>
      <w:r>
        <w:rPr>
          <w:rFonts w:hint="eastAsia" w:ascii="宋体" w:hAnsi="宋体" w:eastAsia="宋体" w:cs="宋体"/>
          <w:sz w:val="24"/>
          <w:lang w:val="zh-CN" w:eastAsia="zh-CN"/>
        </w:rPr>
        <w:t>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pPr>
        <w:spacing w:line="460" w:lineRule="exact"/>
        <w:ind w:firstLine="600"/>
        <w:rPr>
          <w:rFonts w:hint="eastAsia" w:ascii="宋体" w:hAnsi="宋体" w:eastAsia="宋体" w:cs="宋体"/>
          <w:sz w:val="24"/>
          <w:lang w:val="zh-CN" w:eastAsia="zh-CN"/>
        </w:rPr>
      </w:pPr>
      <w:r>
        <w:rPr>
          <w:rFonts w:hint="default" w:ascii="宋体" w:hAnsi="宋体" w:eastAsia="宋体" w:cs="宋体"/>
          <w:sz w:val="24"/>
          <w:lang w:val="zh-CN" w:eastAsia="zh-CN"/>
        </w:rPr>
        <w:t>8、</w:t>
      </w:r>
      <w:r>
        <w:rPr>
          <w:rFonts w:hint="eastAsia" w:ascii="宋体" w:hAnsi="宋体" w:eastAsia="宋体" w:cs="宋体"/>
          <w:sz w:val="24"/>
          <w:lang w:val="zh-CN" w:eastAsia="zh-CN"/>
        </w:rPr>
        <w:t>投标文件中为本项目配备的人员力量，在合同履行期间，中标人须按采购人要求到达本项目现场提供相应服务，否则采购人有权解除采购合同。</w:t>
      </w:r>
    </w:p>
    <w:p>
      <w:pPr>
        <w:spacing w:line="460" w:lineRule="exact"/>
        <w:ind w:firstLine="600"/>
        <w:rPr>
          <w:rFonts w:hint="eastAsia" w:ascii="宋体" w:hAnsi="宋体" w:eastAsia="宋体" w:cs="宋体"/>
          <w:sz w:val="24"/>
          <w:lang w:val="zh-CN" w:eastAsia="zh-CN"/>
        </w:rPr>
      </w:pPr>
      <w:r>
        <w:rPr>
          <w:rFonts w:hint="default" w:ascii="宋体" w:hAnsi="宋体" w:eastAsia="宋体" w:cs="宋体"/>
          <w:sz w:val="24"/>
          <w:lang w:val="zh-CN" w:eastAsia="zh-CN"/>
        </w:rPr>
        <w:t>9、</w:t>
      </w:r>
      <w:r>
        <w:rPr>
          <w:rFonts w:hint="eastAsia" w:ascii="宋体" w:hAnsi="宋体" w:eastAsia="宋体" w:cs="宋体"/>
          <w:sz w:val="24"/>
          <w:lang w:val="zh-CN" w:eastAsia="zh-CN"/>
        </w:rPr>
        <w:t>服务响应时间：中标人需设有专门的服务队伍，建立完备的响应机制。如出现服务问题，电话响应无法解决，中标人必须在接到电话2小时内到达现场，4小时内解决问题。</w:t>
      </w:r>
    </w:p>
    <w:p>
      <w:pPr>
        <w:spacing w:line="460" w:lineRule="exact"/>
        <w:ind w:firstLine="600"/>
        <w:rPr>
          <w:rFonts w:hint="default" w:ascii="宋体" w:hAnsi="宋体" w:eastAsia="宋体" w:cs="宋体"/>
          <w:sz w:val="24"/>
          <w:lang w:val="zh-CN" w:eastAsia="zh-CN"/>
        </w:rPr>
      </w:pPr>
      <w:r>
        <w:rPr>
          <w:rFonts w:hint="default" w:ascii="宋体" w:hAnsi="宋体" w:eastAsia="宋体" w:cs="宋体"/>
          <w:sz w:val="24"/>
          <w:lang w:val="zh-CN" w:eastAsia="zh-CN"/>
        </w:rPr>
        <w:t>10、验收：</w:t>
      </w:r>
    </w:p>
    <w:p>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10</w:t>
      </w:r>
      <w:r>
        <w:rPr>
          <w:rFonts w:hint="default" w:ascii="宋体" w:hAnsi="宋体" w:eastAsia="宋体" w:cs="宋体"/>
          <w:sz w:val="24"/>
          <w:lang w:val="zh-CN" w:eastAsia="zh-CN"/>
        </w:rPr>
        <w:t>.1采购人和相关部门按照招标文件和招标响应文件进行验收。招标文件没有规定和招标响应文件没有相应承诺的，按照下列原则进行验收：有国家标准的按照国家标准验收，没有国家标准的按行业标准验收，无行业标准的按地方或企业标准验收，成交投标人予以配合。涉及需要由其他相关行业主管部门验收的项目，采购人须约请相关部门和专家参加项目验收。</w:t>
      </w:r>
    </w:p>
    <w:p>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10</w:t>
      </w:r>
      <w:r>
        <w:rPr>
          <w:rFonts w:hint="default" w:ascii="宋体" w:hAnsi="宋体" w:eastAsia="宋体" w:cs="宋体"/>
          <w:sz w:val="24"/>
          <w:lang w:val="zh-CN" w:eastAsia="zh-CN"/>
        </w:rPr>
        <w:t>.2采购人及相关行业主管部门对项目进行全面的验收，对验收中暴露出来的问题，成交投标人应及时进行整改，整改后仍达不到验收标准的，采购人有权取消成交投标人资格。</w:t>
      </w:r>
    </w:p>
    <w:p>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11、</w:t>
      </w:r>
      <w:r>
        <w:rPr>
          <w:rFonts w:hint="eastAsia" w:ascii="宋体" w:hAnsi="宋体" w:eastAsia="宋体" w:cs="宋体"/>
          <w:sz w:val="24"/>
          <w:lang w:val="zh-CN" w:eastAsia="zh-CN"/>
        </w:rPr>
        <w:t>本项目总投标价包含了交付使用前的全部费用及所有价内价外税金及合理利润等，</w:t>
      </w:r>
      <w:r>
        <w:rPr>
          <w:rFonts w:hint="eastAsia" w:ascii="宋体" w:hAnsi="宋体" w:eastAsia="宋体" w:cs="宋体"/>
          <w:sz w:val="24"/>
          <w:lang w:val="en-US" w:eastAsia="zh-CN"/>
        </w:rPr>
        <w:t>不再产生任何二次费用。</w:t>
      </w:r>
    </w:p>
    <w:p>
      <w:pPr>
        <w:spacing w:line="460" w:lineRule="exact"/>
        <w:ind w:firstLine="600"/>
        <w:rPr>
          <w:rFonts w:hint="eastAsia" w:ascii="宋体" w:hAnsi="宋体" w:eastAsia="宋体" w:cs="宋体"/>
          <w:sz w:val="24"/>
          <w:lang w:val="zh-CN" w:eastAsia="zh-CN"/>
        </w:rPr>
      </w:pPr>
    </w:p>
    <w:p>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BCA32"/>
    <w:multiLevelType w:val="singleLevel"/>
    <w:tmpl w:val="60BBCA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20A3257"/>
    <w:rsid w:val="03CB7491"/>
    <w:rsid w:val="052A3046"/>
    <w:rsid w:val="05EB0880"/>
    <w:rsid w:val="062E4AEA"/>
    <w:rsid w:val="06E339B1"/>
    <w:rsid w:val="07E96A1E"/>
    <w:rsid w:val="0A6C6349"/>
    <w:rsid w:val="187263AC"/>
    <w:rsid w:val="1C7F35CF"/>
    <w:rsid w:val="200B3B6B"/>
    <w:rsid w:val="20230655"/>
    <w:rsid w:val="21072CC7"/>
    <w:rsid w:val="2214117B"/>
    <w:rsid w:val="22F722B3"/>
    <w:rsid w:val="25253F4E"/>
    <w:rsid w:val="27E74129"/>
    <w:rsid w:val="28901CFF"/>
    <w:rsid w:val="2F3A581B"/>
    <w:rsid w:val="2F937E28"/>
    <w:rsid w:val="30C2420B"/>
    <w:rsid w:val="310E58A1"/>
    <w:rsid w:val="322F2D66"/>
    <w:rsid w:val="32354DFC"/>
    <w:rsid w:val="323653FE"/>
    <w:rsid w:val="3B326DB3"/>
    <w:rsid w:val="3C4E2A76"/>
    <w:rsid w:val="3D94095C"/>
    <w:rsid w:val="40147341"/>
    <w:rsid w:val="42917E16"/>
    <w:rsid w:val="449C2FE1"/>
    <w:rsid w:val="4D20467D"/>
    <w:rsid w:val="50146947"/>
    <w:rsid w:val="51F635A0"/>
    <w:rsid w:val="52FA6DA5"/>
    <w:rsid w:val="5C013209"/>
    <w:rsid w:val="5C6B760E"/>
    <w:rsid w:val="5FF608A7"/>
    <w:rsid w:val="602D5FC1"/>
    <w:rsid w:val="608A34B1"/>
    <w:rsid w:val="63D95EC9"/>
    <w:rsid w:val="69F50A87"/>
    <w:rsid w:val="6C6E4B04"/>
    <w:rsid w:val="6D8E7496"/>
    <w:rsid w:val="735C50AE"/>
    <w:rsid w:val="73E8476A"/>
    <w:rsid w:val="73F364FA"/>
    <w:rsid w:val="74EE54C4"/>
    <w:rsid w:val="750730DA"/>
    <w:rsid w:val="77E640D1"/>
    <w:rsid w:val="780B0ECF"/>
    <w:rsid w:val="7A992BBA"/>
    <w:rsid w:val="7B450E59"/>
    <w:rsid w:val="7E6C6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link w:val="25"/>
    <w:qFormat/>
    <w:uiPriority w:val="0"/>
    <w:pPr>
      <w:jc w:val="left"/>
    </w:pPr>
    <w:rPr>
      <w:rFonts w:ascii="Arial" w:hAnsi="Arial" w:eastAsia="黑体"/>
      <w:b/>
      <w:sz w:val="32"/>
    </w:rPr>
  </w:style>
  <w:style w:type="paragraph" w:styleId="5">
    <w:name w:val="Body Text Indent"/>
    <w:basedOn w:val="1"/>
    <w:link w:val="26"/>
    <w:semiHidden/>
    <w:unhideWhenUsed/>
    <w:qFormat/>
    <w:uiPriority w:val="99"/>
    <w:pPr>
      <w:spacing w:after="120"/>
      <w:ind w:left="420" w:leftChars="200"/>
    </w:pPr>
  </w:style>
  <w:style w:type="paragraph" w:styleId="6">
    <w:name w:val="Date"/>
    <w:basedOn w:val="1"/>
    <w:next w:val="1"/>
    <w:link w:val="23"/>
    <w:semiHidden/>
    <w:unhideWhenUsed/>
    <w:qFormat/>
    <w:uiPriority w:val="99"/>
    <w:pPr>
      <w:ind w:left="100" w:leftChars="2500"/>
    </w:pPr>
  </w:style>
  <w:style w:type="paragraph" w:styleId="7">
    <w:name w:val="Body Text Indent 2"/>
    <w:basedOn w:val="1"/>
    <w:qFormat/>
    <w:uiPriority w:val="0"/>
    <w:pPr>
      <w:spacing w:after="120" w:line="480" w:lineRule="auto"/>
      <w:ind w:left="420" w:leftChars="200"/>
    </w:pPr>
    <w:rPr>
      <w:rFonts w:ascii="宋体"/>
      <w:sz w:val="32"/>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210"/>
    </w:pPr>
    <w:rPr>
      <w:rFonts w:ascii="Calibri" w:hAnsi="Calibri" w:eastAsia="宋体" w:cs="Times New Roman"/>
      <w:szCs w:val="24"/>
    </w:rPr>
  </w:style>
  <w:style w:type="paragraph" w:styleId="12">
    <w:name w:val="Body Text 2"/>
    <w:basedOn w:val="1"/>
    <w:next w:val="1"/>
    <w:qFormat/>
    <w:uiPriority w:val="0"/>
    <w:pPr>
      <w:spacing w:after="120" w:line="480" w:lineRule="auto"/>
    </w:pPr>
    <w:rPr>
      <w:kern w:val="0"/>
      <w:sz w:val="20"/>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5"/>
    <w:link w:val="27"/>
    <w:semiHidden/>
    <w:unhideWhenUsed/>
    <w:qFormat/>
    <w:uiPriority w:val="99"/>
    <w:pPr>
      <w:ind w:firstLine="420" w:firstLineChars="200"/>
    </w:pPr>
  </w:style>
  <w:style w:type="table" w:styleId="16">
    <w:name w:val="Table Grid"/>
    <w:basedOn w:val="1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semiHidden/>
    <w:unhideWhenUsed/>
    <w:qFormat/>
    <w:uiPriority w:val="99"/>
    <w:rPr>
      <w:rFonts w:cs="Times New Roman"/>
    </w:rPr>
  </w:style>
  <w:style w:type="character" w:styleId="19">
    <w:name w:val="Hyperlink"/>
    <w:basedOn w:val="17"/>
    <w:unhideWhenUsed/>
    <w:qFormat/>
    <w:uiPriority w:val="99"/>
    <w:rPr>
      <w:color w:val="0000FF"/>
      <w:u w:val="single"/>
    </w:rPr>
  </w:style>
  <w:style w:type="paragraph" w:customStyle="1" w:styleId="20">
    <w:name w:val="List Paragraph"/>
    <w:basedOn w:val="1"/>
    <w:qFormat/>
    <w:uiPriority w:val="34"/>
    <w:pPr>
      <w:ind w:firstLine="420" w:firstLineChars="200"/>
    </w:pPr>
    <w:rPr>
      <w:rFonts w:ascii="Times New Roman" w:hAnsi="Times New Roman" w:eastAsia="宋体" w:cs="Times New Roman"/>
      <w:szCs w:val="24"/>
    </w:rPr>
  </w:style>
  <w:style w:type="character" w:customStyle="1" w:styleId="21">
    <w:name w:val="页眉 Char"/>
    <w:basedOn w:val="17"/>
    <w:link w:val="10"/>
    <w:semiHidden/>
    <w:qFormat/>
    <w:uiPriority w:val="99"/>
    <w:rPr>
      <w:sz w:val="18"/>
      <w:szCs w:val="18"/>
    </w:rPr>
  </w:style>
  <w:style w:type="character" w:customStyle="1" w:styleId="22">
    <w:name w:val="页脚 Char"/>
    <w:basedOn w:val="17"/>
    <w:link w:val="9"/>
    <w:qFormat/>
    <w:uiPriority w:val="0"/>
    <w:rPr>
      <w:sz w:val="18"/>
      <w:szCs w:val="18"/>
    </w:rPr>
  </w:style>
  <w:style w:type="character" w:customStyle="1" w:styleId="23">
    <w:name w:val="日期 Char"/>
    <w:basedOn w:val="17"/>
    <w:link w:val="6"/>
    <w:semiHidden/>
    <w:qFormat/>
    <w:uiPriority w:val="99"/>
  </w:style>
  <w:style w:type="character" w:customStyle="1" w:styleId="24">
    <w:name w:val="正文文本 Char"/>
    <w:link w:val="2"/>
    <w:qFormat/>
    <w:locked/>
    <w:uiPriority w:val="0"/>
    <w:rPr>
      <w:rFonts w:ascii="Arial" w:hAnsi="Arial" w:eastAsia="黑体"/>
      <w:b/>
      <w:sz w:val="32"/>
    </w:rPr>
  </w:style>
  <w:style w:type="character" w:customStyle="1" w:styleId="25">
    <w:name w:val="正文文本 Char1"/>
    <w:basedOn w:val="17"/>
    <w:link w:val="2"/>
    <w:semiHidden/>
    <w:qFormat/>
    <w:uiPriority w:val="99"/>
  </w:style>
  <w:style w:type="character" w:customStyle="1" w:styleId="26">
    <w:name w:val="正文文本缩进 Char"/>
    <w:basedOn w:val="17"/>
    <w:link w:val="5"/>
    <w:semiHidden/>
    <w:qFormat/>
    <w:uiPriority w:val="99"/>
  </w:style>
  <w:style w:type="character" w:customStyle="1" w:styleId="27">
    <w:name w:val="正文首行缩进 2 Char"/>
    <w:basedOn w:val="26"/>
    <w:link w:val="14"/>
    <w:semiHidden/>
    <w:qFormat/>
    <w:uiPriority w:val="99"/>
  </w:style>
  <w:style w:type="character" w:customStyle="1" w:styleId="28">
    <w:name w:val="批注框文本 Char"/>
    <w:basedOn w:val="17"/>
    <w:link w:val="8"/>
    <w:semiHidden/>
    <w:qFormat/>
    <w:uiPriority w:val="99"/>
    <w:rPr>
      <w:sz w:val="18"/>
      <w:szCs w:val="18"/>
    </w:rPr>
  </w:style>
  <w:style w:type="paragraph" w:customStyle="1" w:styleId="29">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0">
    <w:name w:val="目录 21"/>
    <w:basedOn w:val="1"/>
    <w:qFormat/>
    <w:uiPriority w:val="0"/>
    <w:pPr>
      <w:ind w:left="420"/>
    </w:pPr>
    <w:rPr>
      <w:rFonts w:eastAsia="仿宋_GB2312"/>
      <w:b/>
      <w:sz w:val="24"/>
    </w:rPr>
  </w:style>
  <w:style w:type="character" w:customStyle="1" w:styleId="31">
    <w:name w:val="标题 1 Char"/>
    <w:basedOn w:val="17"/>
    <w:link w:val="3"/>
    <w:qFormat/>
    <w:uiPriority w:val="0"/>
    <w:rPr>
      <w:rFonts w:ascii="Times New Roman" w:hAnsi="Times New Roman" w:eastAsia="黑体"/>
      <w:b/>
      <w:bCs/>
      <w:kern w:val="44"/>
      <w:sz w:val="30"/>
      <w:szCs w:val="44"/>
    </w:rPr>
  </w:style>
  <w:style w:type="character" w:customStyle="1" w:styleId="32">
    <w:name w:val="font101"/>
    <w:basedOn w:val="17"/>
    <w:qFormat/>
    <w:uiPriority w:val="0"/>
    <w:rPr>
      <w:rFonts w:hint="eastAsia" w:ascii="宋体" w:hAnsi="宋体" w:eastAsia="宋体" w:cs="宋体"/>
      <w:color w:val="FF0000"/>
      <w:sz w:val="20"/>
      <w:szCs w:val="20"/>
      <w:u w:val="none"/>
    </w:rPr>
  </w:style>
  <w:style w:type="paragraph" w:customStyle="1" w:styleId="33">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972</Words>
  <Characters>977</Characters>
  <Lines>6</Lines>
  <Paragraphs>1</Paragraphs>
  <TotalTime>3</TotalTime>
  <ScaleCrop>false</ScaleCrop>
  <LinksUpToDate>false</LinksUpToDate>
  <CharactersWithSpaces>997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2025-06-27T01:51:43Z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5454054EEDDD420495B91241D8CDEB4A</vt:lpwstr>
  </property>
  <property fmtid="{D5CDD505-2E9C-101B-9397-08002B2CF9AE}" pid="4" name="KSOTemplateDocerSaveRecord">
    <vt:lpwstr>eyJoZGlkIjoiNDM3MTYzMDhhOTc5YTExMzg1YTM0MTdhNjM0ZDllMjgiLCJ1c2VySWQiOiI0MzkxNjI2NzYifQ==</vt:lpwstr>
  </property>
</Properties>
</file>