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宋体" w:hAnsi="宋体" w:cs="宋体"/>
          <w:color w:val="000000" w:themeColor="text1"/>
          <w:spacing w:val="-20"/>
          <w:kern w:val="2"/>
          <w:sz w:val="40"/>
          <w:szCs w:val="40"/>
          <w:highlight w:val="none"/>
          <w:lang w:val="en-US" w:eastAsia="zh-CN" w:bidi="ar-SA"/>
        </w:rPr>
      </w:pPr>
      <w:r>
        <w:rPr>
          <w:rFonts w:hint="eastAsia" w:ascii="宋体" w:hAnsi="宋体" w:eastAsia="宋体" w:cs="宋体"/>
          <w:color w:val="000000" w:themeColor="text1"/>
          <w:spacing w:val="-20"/>
          <w:kern w:val="2"/>
          <w:sz w:val="40"/>
          <w:szCs w:val="40"/>
          <w:highlight w:val="none"/>
          <w:lang w:val="en-US" w:eastAsia="zh-CN" w:bidi="ar-SA"/>
        </w:rPr>
        <w:t>马鞍山市</w:t>
      </w:r>
      <w:r>
        <w:rPr>
          <w:rFonts w:hint="eastAsia" w:ascii="宋体" w:hAnsi="宋体" w:cs="宋体"/>
          <w:color w:val="000000" w:themeColor="text1"/>
          <w:spacing w:val="-20"/>
          <w:kern w:val="2"/>
          <w:sz w:val="40"/>
          <w:szCs w:val="40"/>
          <w:highlight w:val="none"/>
          <w:lang w:val="en-US" w:eastAsia="zh-CN" w:bidi="ar-SA"/>
        </w:rPr>
        <w:t>2025年度西学中培训教材采购项目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宋体" w:hAnsi="宋体" w:eastAsia="宋体" w:cs="宋体"/>
          <w:color w:val="000000" w:themeColor="text1"/>
          <w:spacing w:val="-20"/>
          <w:kern w:val="2"/>
          <w:sz w:val="40"/>
          <w:szCs w:val="40"/>
          <w:highlight w:val="none"/>
          <w:lang w:val="en-US" w:eastAsia="zh-CN" w:bidi="ar-SA"/>
        </w:rPr>
      </w:pPr>
      <w:bookmarkStart w:id="2" w:name="_GoBack"/>
      <w:bookmarkEnd w:id="2"/>
      <w:r>
        <w:rPr>
          <w:rFonts w:hint="eastAsia" w:ascii="宋体" w:hAnsi="宋体" w:eastAsia="宋体" w:cs="宋体"/>
          <w:color w:val="000000" w:themeColor="text1"/>
          <w:spacing w:val="-20"/>
          <w:kern w:val="2"/>
          <w:sz w:val="40"/>
          <w:szCs w:val="40"/>
          <w:highlight w:val="none"/>
          <w:lang w:val="en-US" w:eastAsia="zh-CN" w:bidi="ar-SA"/>
        </w:rPr>
        <w:t>内容及相关要求</w:t>
      </w:r>
    </w:p>
    <w:p>
      <w:pPr>
        <w:numPr>
          <w:ilvl w:val="0"/>
          <w:numId w:val="1"/>
        </w:numPr>
        <w:tabs>
          <w:tab w:val="left" w:pos="1050"/>
        </w:tabs>
        <w:spacing w:line="460" w:lineRule="exact"/>
        <w:ind w:left="210" w:leftChars="0" w:firstLineChars="0"/>
        <w:jc w:val="left"/>
        <w:outlineLvl w:val="2"/>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采购预算</w:t>
      </w:r>
    </w:p>
    <w:p>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预算金额（人民币）：</w:t>
      </w:r>
      <w:r>
        <w:rPr>
          <w:rFonts w:hint="eastAsia" w:asciiTheme="minorEastAsia" w:hAnsiTheme="minorEastAsia" w:eastAsiaTheme="minorEastAsia" w:cstheme="minorEastAsia"/>
          <w:b w:val="0"/>
          <w:bCs w:val="0"/>
          <w:sz w:val="24"/>
          <w:szCs w:val="24"/>
          <w:u w:val="single"/>
          <w:lang w:val="en-US" w:eastAsia="zh-CN"/>
        </w:rPr>
        <w:t xml:space="preserve"> 2.64  </w:t>
      </w:r>
      <w:r>
        <w:rPr>
          <w:rFonts w:hint="eastAsia" w:asciiTheme="minorEastAsia" w:hAnsiTheme="minorEastAsia" w:eastAsiaTheme="minorEastAsia" w:cstheme="minorEastAsia"/>
          <w:b w:val="0"/>
          <w:bCs w:val="0"/>
          <w:sz w:val="24"/>
          <w:szCs w:val="24"/>
          <w:lang w:val="en-US" w:eastAsia="zh-CN"/>
        </w:rPr>
        <w:t>万元；最高限价（人民币）：</w:t>
      </w:r>
      <w:r>
        <w:rPr>
          <w:rFonts w:hint="eastAsia" w:asciiTheme="minorEastAsia" w:hAnsiTheme="minorEastAsia" w:eastAsiaTheme="minorEastAsia" w:cstheme="minorEastAsia"/>
          <w:b w:val="0"/>
          <w:bCs w:val="0"/>
          <w:sz w:val="24"/>
          <w:szCs w:val="24"/>
          <w:u w:val="single"/>
          <w:lang w:val="en-US" w:eastAsia="zh-CN"/>
        </w:rPr>
        <w:t xml:space="preserve"> 2.64  </w:t>
      </w:r>
      <w:r>
        <w:rPr>
          <w:rFonts w:hint="eastAsia" w:asciiTheme="minorEastAsia" w:hAnsiTheme="minorEastAsia" w:eastAsiaTheme="minorEastAsia" w:cstheme="minorEastAsia"/>
          <w:b w:val="0"/>
          <w:bCs w:val="0"/>
          <w:sz w:val="24"/>
          <w:szCs w:val="24"/>
          <w:lang w:val="en-US" w:eastAsia="zh-CN"/>
        </w:rPr>
        <w:t>万元。</w:t>
      </w:r>
    </w:p>
    <w:p>
      <w:pPr>
        <w:numPr>
          <w:ilvl w:val="0"/>
          <w:numId w:val="1"/>
        </w:numPr>
        <w:spacing w:line="480" w:lineRule="exact"/>
        <w:ind w:left="210" w:leftChars="0" w:firstLine="0" w:firstLineChars="0"/>
        <w:jc w:val="left"/>
        <w:rPr>
          <w:rFonts w:hint="eastAsia" w:asciiTheme="minorEastAsia" w:hAnsiTheme="minorEastAsia" w:eastAsiaTheme="minorEastAsia" w:cstheme="minorEastAsia"/>
          <w:sz w:val="24"/>
          <w:szCs w:val="24"/>
          <w:lang w:val="en-US" w:eastAsia="zh-CN"/>
        </w:rPr>
      </w:pPr>
      <w:bookmarkStart w:id="0" w:name="_Toc26868"/>
      <w:r>
        <w:rPr>
          <w:rFonts w:hint="eastAsia" w:asciiTheme="minorEastAsia" w:hAnsiTheme="minorEastAsia" w:eastAsiaTheme="minorEastAsia" w:cstheme="minorEastAsia"/>
          <w:b/>
          <w:sz w:val="24"/>
          <w:szCs w:val="24"/>
          <w:lang w:val="en-US" w:eastAsia="zh-CN"/>
        </w:rPr>
        <w:t>采购内容及相关要求</w:t>
      </w:r>
    </w:p>
    <w:p>
      <w:pPr>
        <w:spacing w:line="480" w:lineRule="exact"/>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（一）采购清单</w:t>
      </w:r>
    </w:p>
    <w:tbl>
      <w:tblPr>
        <w:tblStyle w:val="15"/>
        <w:tblW w:w="873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104"/>
        <w:gridCol w:w="855"/>
        <w:gridCol w:w="885"/>
        <w:gridCol w:w="1206"/>
        <w:gridCol w:w="954"/>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56" w:type="dxa"/>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b/>
                <w:bCs/>
                <w:sz w:val="24"/>
              </w:rPr>
            </w:pPr>
            <w:r>
              <w:rPr>
                <w:rFonts w:hint="eastAsia" w:ascii="宋体" w:hAnsi="宋体"/>
                <w:b/>
                <w:bCs/>
                <w:sz w:val="24"/>
              </w:rPr>
              <w:t>序号</w:t>
            </w:r>
          </w:p>
        </w:tc>
        <w:tc>
          <w:tcPr>
            <w:tcW w:w="2104" w:type="dxa"/>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b/>
                <w:bCs/>
                <w:sz w:val="24"/>
              </w:rPr>
            </w:pPr>
            <w:r>
              <w:rPr>
                <w:rFonts w:hint="eastAsia" w:ascii="宋体" w:hAnsi="宋体"/>
                <w:b/>
                <w:bCs/>
                <w:sz w:val="24"/>
              </w:rPr>
              <w:t>货物名称</w:t>
            </w:r>
          </w:p>
        </w:tc>
        <w:tc>
          <w:tcPr>
            <w:tcW w:w="855" w:type="dxa"/>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b/>
                <w:bCs/>
                <w:sz w:val="24"/>
              </w:rPr>
            </w:pPr>
            <w:r>
              <w:rPr>
                <w:rFonts w:hint="eastAsia" w:ascii="宋体" w:hAnsi="宋体"/>
                <w:b/>
                <w:bCs/>
                <w:sz w:val="24"/>
              </w:rPr>
              <w:t>数量</w:t>
            </w:r>
          </w:p>
        </w:tc>
        <w:tc>
          <w:tcPr>
            <w:tcW w:w="885" w:type="dxa"/>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b/>
                <w:bCs/>
                <w:sz w:val="24"/>
              </w:rPr>
            </w:pPr>
            <w:r>
              <w:rPr>
                <w:rFonts w:hint="eastAsia" w:ascii="宋体" w:hAnsi="宋体"/>
                <w:b/>
                <w:bCs/>
                <w:sz w:val="24"/>
              </w:rPr>
              <w:t>单位</w:t>
            </w:r>
          </w:p>
        </w:tc>
        <w:tc>
          <w:tcPr>
            <w:tcW w:w="1206" w:type="dxa"/>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b/>
                <w:bCs/>
                <w:sz w:val="24"/>
                <w:lang w:val="en-US" w:eastAsia="zh-CN"/>
              </w:rPr>
            </w:pPr>
            <w:r>
              <w:rPr>
                <w:rFonts w:hint="eastAsia" w:ascii="宋体" w:hAnsi="宋体"/>
                <w:b/>
                <w:bCs/>
                <w:sz w:val="24"/>
                <w:lang w:val="en-US" w:eastAsia="zh-CN"/>
              </w:rPr>
              <w:t>最高限价（元）</w:t>
            </w:r>
          </w:p>
        </w:tc>
        <w:tc>
          <w:tcPr>
            <w:tcW w:w="954" w:type="dxa"/>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b/>
                <w:bCs/>
                <w:sz w:val="24"/>
                <w:lang w:val="en-US" w:eastAsia="zh-CN"/>
              </w:rPr>
            </w:pPr>
            <w:r>
              <w:rPr>
                <w:rFonts w:hint="eastAsia" w:ascii="宋体" w:hAnsi="宋体"/>
                <w:b/>
                <w:bCs/>
                <w:sz w:val="24"/>
                <w:lang w:val="en-US" w:eastAsia="zh-CN"/>
              </w:rPr>
              <w:t>总预算（元）</w:t>
            </w:r>
          </w:p>
        </w:tc>
        <w:tc>
          <w:tcPr>
            <w:tcW w:w="2073" w:type="dxa"/>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b/>
                <w:bCs/>
                <w:sz w:val="24"/>
                <w:lang w:val="en-US" w:eastAsia="zh-CN"/>
              </w:rPr>
            </w:pPr>
            <w:r>
              <w:rPr>
                <w:rFonts w:hint="eastAsia" w:ascii="宋体" w:hAnsi="宋体"/>
                <w:b/>
                <w:bCs/>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56" w:type="dxa"/>
            <w:noWrap w:val="0"/>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1</w:t>
            </w:r>
          </w:p>
        </w:tc>
        <w:tc>
          <w:tcPr>
            <w:tcW w:w="2104" w:type="dxa"/>
            <w:noWrap w:val="0"/>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中医基础理论（新世纪第五版）</w:t>
            </w:r>
          </w:p>
        </w:tc>
        <w:tc>
          <w:tcPr>
            <w:tcW w:w="855" w:type="dxa"/>
            <w:noWrap w:val="0"/>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150</w:t>
            </w:r>
          </w:p>
        </w:tc>
        <w:tc>
          <w:tcPr>
            <w:tcW w:w="885" w:type="dxa"/>
            <w:noWrap w:val="0"/>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本</w:t>
            </w:r>
          </w:p>
        </w:tc>
        <w:tc>
          <w:tcPr>
            <w:tcW w:w="1206" w:type="dxa"/>
            <w:noWrap w:val="0"/>
            <w:vAlign w:val="center"/>
          </w:tcPr>
          <w:p>
            <w:pPr>
              <w:spacing w:line="340" w:lineRule="exact"/>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52</w:t>
            </w:r>
          </w:p>
        </w:tc>
        <w:tc>
          <w:tcPr>
            <w:tcW w:w="954" w:type="dxa"/>
            <w:noWrap w:val="0"/>
            <w:vAlign w:val="center"/>
          </w:tcPr>
          <w:p>
            <w:pPr>
              <w:spacing w:line="340" w:lineRule="exact"/>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7800</w:t>
            </w:r>
          </w:p>
        </w:tc>
        <w:tc>
          <w:tcPr>
            <w:tcW w:w="2073" w:type="dxa"/>
            <w:noWrap w:val="0"/>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中国中医药出版社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56" w:type="dxa"/>
            <w:noWrap w:val="0"/>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2</w:t>
            </w:r>
          </w:p>
        </w:tc>
        <w:tc>
          <w:tcPr>
            <w:tcW w:w="2104" w:type="dxa"/>
            <w:noWrap w:val="0"/>
            <w:vAlign w:val="center"/>
          </w:tcPr>
          <w:p>
            <w:pPr>
              <w:spacing w:line="340" w:lineRule="exact"/>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中医诊断学（新世纪第五版）</w:t>
            </w:r>
          </w:p>
        </w:tc>
        <w:tc>
          <w:tcPr>
            <w:tcW w:w="855" w:type="dxa"/>
            <w:noWrap w:val="0"/>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150</w:t>
            </w:r>
          </w:p>
        </w:tc>
        <w:tc>
          <w:tcPr>
            <w:tcW w:w="885" w:type="dxa"/>
            <w:noWrap w:val="0"/>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本</w:t>
            </w:r>
          </w:p>
        </w:tc>
        <w:tc>
          <w:tcPr>
            <w:tcW w:w="1206" w:type="dxa"/>
            <w:noWrap w:val="0"/>
            <w:vAlign w:val="center"/>
          </w:tcPr>
          <w:p>
            <w:pPr>
              <w:spacing w:line="340" w:lineRule="exact"/>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49</w:t>
            </w:r>
          </w:p>
        </w:tc>
        <w:tc>
          <w:tcPr>
            <w:tcW w:w="954" w:type="dxa"/>
            <w:noWrap w:val="0"/>
            <w:vAlign w:val="center"/>
          </w:tcPr>
          <w:p>
            <w:pPr>
              <w:spacing w:line="340" w:lineRule="exact"/>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7350</w:t>
            </w:r>
          </w:p>
        </w:tc>
        <w:tc>
          <w:tcPr>
            <w:tcW w:w="2073" w:type="dxa"/>
            <w:noWrap w:val="0"/>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中国中医药出版社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56" w:type="dxa"/>
            <w:noWrap w:val="0"/>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3</w:t>
            </w:r>
          </w:p>
        </w:tc>
        <w:tc>
          <w:tcPr>
            <w:tcW w:w="2104" w:type="dxa"/>
            <w:noWrap w:val="0"/>
            <w:vAlign w:val="center"/>
          </w:tcPr>
          <w:p>
            <w:pPr>
              <w:spacing w:line="340" w:lineRule="exact"/>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中成药学（新世纪第三版）</w:t>
            </w:r>
          </w:p>
        </w:tc>
        <w:tc>
          <w:tcPr>
            <w:tcW w:w="855" w:type="dxa"/>
            <w:noWrap w:val="0"/>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150</w:t>
            </w:r>
          </w:p>
        </w:tc>
        <w:tc>
          <w:tcPr>
            <w:tcW w:w="885" w:type="dxa"/>
            <w:noWrap w:val="0"/>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本</w:t>
            </w:r>
          </w:p>
        </w:tc>
        <w:tc>
          <w:tcPr>
            <w:tcW w:w="1206" w:type="dxa"/>
            <w:noWrap w:val="0"/>
            <w:vAlign w:val="center"/>
          </w:tcPr>
          <w:p>
            <w:pPr>
              <w:spacing w:line="340" w:lineRule="exact"/>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75</w:t>
            </w:r>
          </w:p>
        </w:tc>
        <w:tc>
          <w:tcPr>
            <w:tcW w:w="954" w:type="dxa"/>
            <w:noWrap w:val="0"/>
            <w:vAlign w:val="center"/>
          </w:tcPr>
          <w:p>
            <w:pPr>
              <w:spacing w:line="340" w:lineRule="exact"/>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11250</w:t>
            </w:r>
          </w:p>
        </w:tc>
        <w:tc>
          <w:tcPr>
            <w:tcW w:w="2073" w:type="dxa"/>
            <w:noWrap w:val="0"/>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中国中医药出版社</w:t>
            </w:r>
          </w:p>
        </w:tc>
      </w:tr>
    </w:tbl>
    <w:p>
      <w:pPr>
        <w:jc w:val="center"/>
        <w:rPr>
          <w:rFonts w:hint="eastAsia" w:asciiTheme="minorEastAsia" w:hAnsiTheme="minorEastAsia" w:eastAsiaTheme="minorEastAsia" w:cstheme="minorEastAsia"/>
          <w:b/>
          <w:color w:val="000000"/>
          <w:sz w:val="24"/>
          <w:szCs w:val="24"/>
          <w:lang w:val="en-US" w:eastAsia="zh-CN"/>
        </w:rPr>
      </w:pPr>
    </w:p>
    <w:p>
      <w:pPr>
        <w:jc w:val="both"/>
        <w:rPr>
          <w:rFonts w:hint="eastAsia" w:asciiTheme="minorEastAsia" w:hAnsiTheme="minorEastAsia" w:eastAsiaTheme="minorEastAsia" w:cstheme="minorEastAsia"/>
          <w:b/>
          <w:color w:val="000000"/>
          <w:sz w:val="24"/>
          <w:szCs w:val="24"/>
          <w:lang w:val="en-US" w:eastAsia="zh-CN"/>
        </w:rPr>
      </w:pPr>
    </w:p>
    <w:p>
      <w:pPr>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color w:val="000000"/>
          <w:sz w:val="24"/>
          <w:szCs w:val="24"/>
          <w:lang w:val="en-US" w:eastAsia="zh-CN"/>
        </w:rPr>
        <w:t xml:space="preserve">       （二</w:t>
      </w:r>
      <w:r>
        <w:rPr>
          <w:rFonts w:hint="eastAsia" w:asciiTheme="minorEastAsia" w:hAnsiTheme="minorEastAsia" w:eastAsiaTheme="minorEastAsia" w:cstheme="minorEastAsia"/>
          <w:b/>
          <w:color w:val="000000"/>
          <w:sz w:val="24"/>
          <w:szCs w:val="24"/>
        </w:rPr>
        <w:t>）服务内容</w:t>
      </w:r>
    </w:p>
    <w:p>
      <w:pPr>
        <w:tabs>
          <w:tab w:val="left" w:pos="7020"/>
        </w:tabs>
        <w:spacing w:line="440" w:lineRule="exact"/>
        <w:ind w:firstLine="480" w:firstLineChars="200"/>
        <w:rPr>
          <w:rFonts w:hint="eastAsia" w:ascii="宋体" w:hAnsi="宋体" w:eastAsia="宋体" w:cs="Times New Roman"/>
          <w:color w:val="0000FF"/>
          <w:sz w:val="24"/>
          <w:lang w:val="en-US" w:eastAsia="zh-CN"/>
        </w:rPr>
      </w:pPr>
      <w:r>
        <w:rPr>
          <w:rFonts w:hint="eastAsia" w:ascii="宋体" w:hAnsi="宋体" w:eastAsia="宋体" w:cs="Times New Roman"/>
          <w:sz w:val="24"/>
          <w:lang w:val="en-US" w:eastAsia="zh-CN"/>
        </w:rPr>
        <w:t>1、项目概况：</w:t>
      </w:r>
      <w:r>
        <w:rPr>
          <w:rFonts w:hint="default" w:ascii="宋体" w:hAnsi="宋体" w:eastAsia="宋体" w:cs="Times New Roman"/>
          <w:sz w:val="24"/>
          <w:lang w:val="en-US" w:eastAsia="zh-CN"/>
        </w:rPr>
        <w:t>根据《安徽省非中医类别医师学习中医培训方案》（皖卫中医药发〔2020〕3号）、《马鞍山市一年期非中医类别医师学习中医培训方案》（马卫健办〔2021〕21号）、《</w:t>
      </w:r>
      <w:r>
        <w:rPr>
          <w:rFonts w:hint="eastAsia" w:ascii="宋体" w:hAnsi="宋体" w:eastAsia="宋体" w:cs="Times New Roman"/>
          <w:sz w:val="24"/>
          <w:lang w:val="en-US" w:eastAsia="zh-CN"/>
        </w:rPr>
        <w:t>2025年市级</w:t>
      </w:r>
      <w:r>
        <w:rPr>
          <w:rFonts w:hint="default" w:ascii="宋体" w:hAnsi="宋体" w:eastAsia="宋体" w:cs="Times New Roman"/>
          <w:sz w:val="24"/>
          <w:lang w:val="en-US" w:eastAsia="zh-CN"/>
        </w:rPr>
        <w:t>中医发展专项资金项目实施方案》文件要求，</w:t>
      </w:r>
      <w:r>
        <w:rPr>
          <w:rFonts w:hint="eastAsia" w:ascii="宋体" w:hAnsi="宋体" w:eastAsia="宋体" w:cs="Times New Roman"/>
          <w:sz w:val="24"/>
          <w:lang w:val="en-US" w:eastAsia="zh-CN"/>
        </w:rPr>
        <w:t>2025年全市将培训150名</w:t>
      </w:r>
      <w:r>
        <w:rPr>
          <w:rFonts w:hint="default" w:ascii="宋体" w:hAnsi="宋体" w:eastAsia="宋体" w:cs="Times New Roman"/>
          <w:sz w:val="24"/>
          <w:lang w:val="en-US" w:eastAsia="zh-CN"/>
        </w:rPr>
        <w:t>非中医类别执业（助理）医师</w:t>
      </w:r>
      <w:r>
        <w:rPr>
          <w:rFonts w:hint="eastAsia" w:ascii="宋体" w:hAnsi="宋体" w:eastAsia="宋体" w:cs="Times New Roman"/>
          <w:sz w:val="24"/>
          <w:lang w:val="en-US" w:eastAsia="zh-CN"/>
        </w:rPr>
        <w:t>，培训周期为1年，市卫健委为项目主办单位，市中医院为承办单位</w:t>
      </w:r>
      <w:r>
        <w:rPr>
          <w:rFonts w:hint="default" w:ascii="宋体" w:hAnsi="宋体" w:eastAsia="宋体" w:cs="Times New Roman"/>
          <w:sz w:val="24"/>
          <w:lang w:val="en-US" w:eastAsia="zh-CN"/>
        </w:rPr>
        <w:t>。</w:t>
      </w:r>
      <w:r>
        <w:rPr>
          <w:rFonts w:hint="eastAsia" w:ascii="宋体" w:hAnsi="宋体" w:eastAsia="宋体" w:cs="Times New Roman"/>
          <w:color w:val="0000FF"/>
          <w:sz w:val="24"/>
          <w:lang w:val="en-US" w:eastAsia="zh-CN"/>
        </w:rPr>
        <w:t>现需采购“西学中”线下理论授课培训教材，包括《中医基础理论》《中医诊断学》《中成药学》三种，每种各采购150本，总计450本。</w:t>
      </w:r>
    </w:p>
    <w:p>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2、培训对象：</w:t>
      </w:r>
      <w:r>
        <w:rPr>
          <w:rFonts w:hint="default" w:ascii="宋体" w:hAnsi="宋体" w:eastAsia="宋体" w:cs="Times New Roman"/>
          <w:sz w:val="24"/>
          <w:lang w:val="en-US" w:eastAsia="zh-CN"/>
        </w:rPr>
        <w:t>为全市医疗机构中非中医类别执业（助理）医师，共150人</w:t>
      </w:r>
      <w:r>
        <w:rPr>
          <w:rFonts w:hint="eastAsia" w:ascii="宋体" w:hAnsi="宋体" w:eastAsia="宋体" w:cs="Times New Roman"/>
          <w:sz w:val="24"/>
          <w:lang w:val="en-US" w:eastAsia="zh-CN"/>
        </w:rPr>
        <w:t>。</w:t>
      </w:r>
    </w:p>
    <w:p>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3、培训内容：</w:t>
      </w:r>
      <w:r>
        <w:rPr>
          <w:rFonts w:hint="default" w:ascii="宋体" w:hAnsi="宋体" w:eastAsia="宋体" w:cs="Times New Roman"/>
          <w:sz w:val="24"/>
          <w:lang w:val="en-US" w:eastAsia="zh-CN"/>
        </w:rPr>
        <w:t>采取自学网络课程及集中面授相结合方式进行，共开设中医基础理论、中医诊断学、中药学、方剂学、中成药学及中医药适宜技术等6门理论课程（教材采用全国高等中医药院校成人教育统编教材或普通高等教育中医药院校规划教材），累计理论学习时间不少于400学时，其中集中面授学习为200学时。</w:t>
      </w:r>
    </w:p>
    <w:p>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4、质量要求：中标人需确保所提供的图书为正版，且版本、出版社等信息与采购要求完全一致。中标人不得提供盗版书及非法出版物。一旦发现中标人所提供的图书出现盗版或非法出版物，不论是当年还是往年，有权终止合同，由此引起的法律责任和经济纠纷完全由中标人承担。 </w:t>
      </w:r>
    </w:p>
    <w:p>
      <w:pPr>
        <w:pStyle w:val="2"/>
        <w:rPr>
          <w:rFonts w:hint="eastAsia"/>
          <w:lang w:val="en-US" w:eastAsia="zh-CN"/>
        </w:rPr>
      </w:pPr>
    </w:p>
    <w:p>
      <w:pPr>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（三）商务要求</w:t>
      </w:r>
    </w:p>
    <w:bookmarkEnd w:id="0"/>
    <w:p>
      <w:pPr>
        <w:numPr>
          <w:ilvl w:val="0"/>
          <w:numId w:val="0"/>
        </w:numPr>
        <w:jc w:val="center"/>
        <w:rPr>
          <w:rFonts w:hint="eastAsia" w:ascii="宋体" w:hAnsi="宋体" w:cs="宋体"/>
          <w:b/>
          <w:color w:val="FF0000"/>
          <w:sz w:val="28"/>
          <w:szCs w:val="24"/>
          <w:highlight w:val="yellow"/>
          <w:lang w:val="en-US" w:eastAsia="zh-CN"/>
        </w:rPr>
      </w:pPr>
      <w:r>
        <w:rPr>
          <w:rFonts w:hint="eastAsia" w:ascii="宋体" w:hAnsi="宋体" w:cs="宋体"/>
          <w:b/>
          <w:color w:val="FF0000"/>
          <w:sz w:val="28"/>
          <w:szCs w:val="24"/>
          <w:highlight w:val="yellow"/>
        </w:rPr>
        <w:t>（本项目商务要求为不允许负偏离的实质性要求和条件）</w:t>
      </w:r>
    </w:p>
    <w:p>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1</w:t>
      </w:r>
      <w:r>
        <w:rPr>
          <w:rFonts w:hint="eastAsia" w:ascii="宋体" w:hAnsi="宋体" w:eastAsia="宋体" w:cs="Times New Roman"/>
          <w:sz w:val="24"/>
          <w:lang w:val="zh-CN" w:eastAsia="zh-CN"/>
        </w:rPr>
        <w:t>、</w:t>
      </w:r>
      <w:r>
        <w:rPr>
          <w:rFonts w:hint="eastAsia" w:ascii="宋体" w:hAnsi="宋体" w:eastAsia="宋体" w:cs="Times New Roman"/>
          <w:sz w:val="24"/>
          <w:lang w:val="en-US" w:eastAsia="zh-CN"/>
        </w:rPr>
        <w:t>所有货物（包括零部件）须为全新的、未使用过的原装正品。提交货物的技术参数和配置应与询价文件的要求及其响应文件的技术响应表（如果被评委会接受的话）相一致。若询价文件及响应文件中无相应说明，则以国家有关部门最新颁布的相应标准及规范为准。</w:t>
      </w:r>
    </w:p>
    <w:p>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2、所有货物必须符合国家相关强制性要求。</w:t>
      </w:r>
    </w:p>
    <w:p>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3、技术支持</w:t>
      </w:r>
    </w:p>
    <w:p>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3.1成交供应商应向采购人提供全方位及时而有效的技术支持和服务。</w:t>
      </w:r>
    </w:p>
    <w:p>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3.2成交供应商负责供货、运输并安装调试完毕。</w:t>
      </w:r>
    </w:p>
    <w:p>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3.3成交供应商在项目实施过程中，国家对相关项目有资质要求的，进场单位和人员的资质、资格符合国家、省、市有关规定。实施期间成交供应商所发生的或成交供应商实施场地内发生的或成交供应商原因造成的安全事故，均应由成交供应商负责按有关规定处理善后事宜，并承担给采购人造成的损失。</w:t>
      </w:r>
    </w:p>
    <w:p>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 xml:space="preserve">4、产品质保期、服务期及售后服务：                                        </w:t>
      </w:r>
    </w:p>
    <w:p>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 xml:space="preserve">4.1产品质保期：成交供应商须提供产品至少90天的质保期（自验收合格之日起计算），质保期内出现质量问题（如印刷错误、缺页、装订开裂等问题），成交供应商负责包修、包退、包换，所有质保费用均已包含在总报价中。                                                        </w:t>
      </w:r>
    </w:p>
    <w:p>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4.2售后服务响应时间：如货物出现质量问题，</w:t>
      </w:r>
      <w:bookmarkStart w:id="1" w:name="OLE_LINK2"/>
      <w:r>
        <w:rPr>
          <w:rFonts w:hint="eastAsia" w:ascii="宋体" w:hAnsi="宋体" w:eastAsia="宋体" w:cs="Times New Roman"/>
          <w:sz w:val="24"/>
          <w:lang w:val="en-US" w:eastAsia="zh-CN"/>
        </w:rPr>
        <w:t>成交供应商</w:t>
      </w:r>
      <w:bookmarkEnd w:id="1"/>
      <w:r>
        <w:rPr>
          <w:rFonts w:hint="eastAsia" w:ascii="宋体" w:hAnsi="宋体" w:eastAsia="宋体" w:cs="Times New Roman"/>
          <w:sz w:val="24"/>
          <w:lang w:val="en-US" w:eastAsia="zh-CN"/>
        </w:rPr>
        <w:t>须1小时内响应，电话响应无法解决，成交供应商必须在接报修电话24小时内到达现场并在48小时内解决问题。如不能解决的，成交供应商需提供备品备件供采购人使用。质保期内如货物出现质量问题，成交供应商负责修复，对于无法修复的情况，成交供应商负责免费更换。</w:t>
      </w:r>
    </w:p>
    <w:p>
      <w:pPr>
        <w:tabs>
          <w:tab w:val="left" w:pos="7020"/>
        </w:tabs>
        <w:spacing w:line="440" w:lineRule="exact"/>
        <w:ind w:firstLine="480" w:firstLineChars="200"/>
        <w:rPr>
          <w:rFonts w:hint="eastAsia" w:ascii="宋体" w:hAnsi="宋体" w:eastAsia="宋体" w:cs="Times New Roman"/>
          <w:sz w:val="24"/>
          <w:highlight w:val="yellow"/>
          <w:lang w:val="en-US" w:eastAsia="zh-CN"/>
        </w:rPr>
      </w:pPr>
      <w:r>
        <w:rPr>
          <w:rFonts w:hint="eastAsia" w:ascii="宋体" w:hAnsi="宋体" w:eastAsia="宋体" w:cs="Times New Roman"/>
          <w:sz w:val="24"/>
          <w:lang w:val="en-US" w:eastAsia="zh-CN"/>
        </w:rPr>
        <w:t>5、供货期：</w:t>
      </w:r>
      <w:r>
        <w:rPr>
          <w:rFonts w:hint="eastAsia" w:ascii="宋体" w:hAnsi="宋体" w:eastAsia="宋体" w:cs="Times New Roman"/>
          <w:sz w:val="24"/>
          <w:highlight w:val="yellow"/>
          <w:lang w:val="en-US" w:eastAsia="zh-CN"/>
        </w:rPr>
        <w:t>合同签订后，10个日历日内交货。</w:t>
      </w:r>
    </w:p>
    <w:p>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6、供货地点：马鞍山市中医院（采购人指定地点）。</w:t>
      </w:r>
    </w:p>
    <w:p>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7、验收：采购人和相关部门按照询价文件和响应文件承诺进行验收。询价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                                </w:t>
      </w:r>
    </w:p>
    <w:p>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8、付款方式：验收合格之后，三个月内支付100%合同款。</w:t>
      </w:r>
    </w:p>
    <w:p>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9、本项目总投标价包含履行本项目的全部费用及所有价内价外税金及合理利润等，不再产生任何二次费用。</w:t>
      </w:r>
    </w:p>
    <w:p>
      <w:pPr>
        <w:spacing w:line="340" w:lineRule="exact"/>
        <w:ind w:firstLine="440" w:firstLineChars="200"/>
        <w:jc w:val="left"/>
        <w:rPr>
          <w:rFonts w:hint="eastAsia" w:asciiTheme="minorEastAsia" w:hAnsiTheme="minorEastAsia" w:eastAsiaTheme="minorEastAsia" w:cstheme="minorEastAsia"/>
          <w:b w:val="0"/>
          <w:bCs w:val="0"/>
          <w:sz w:val="22"/>
          <w:szCs w:val="22"/>
          <w:lang w:val="zh-CN" w:eastAsia="zh-CN"/>
        </w:rPr>
      </w:pPr>
    </w:p>
    <w:p>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BCA32"/>
    <w:multiLevelType w:val="singleLevel"/>
    <w:tmpl w:val="60BBCA32"/>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VjOGUxODk1YzY2NTUxMWVjNzRmZDgxYTIzNjVjOGQifQ=="/>
  </w:docVars>
  <w:rsids>
    <w:rsidRoot w:val="00000000"/>
    <w:rsid w:val="006335AF"/>
    <w:rsid w:val="020A3257"/>
    <w:rsid w:val="03CB7491"/>
    <w:rsid w:val="052A3046"/>
    <w:rsid w:val="05EB0880"/>
    <w:rsid w:val="062E4AEA"/>
    <w:rsid w:val="06CC51B2"/>
    <w:rsid w:val="06E339B1"/>
    <w:rsid w:val="07E96A1E"/>
    <w:rsid w:val="0A6C6349"/>
    <w:rsid w:val="187263AC"/>
    <w:rsid w:val="1A5A58C9"/>
    <w:rsid w:val="1B9133C8"/>
    <w:rsid w:val="1C7F35CF"/>
    <w:rsid w:val="1EA6006C"/>
    <w:rsid w:val="200B3B6B"/>
    <w:rsid w:val="20230655"/>
    <w:rsid w:val="21072CC7"/>
    <w:rsid w:val="2214117B"/>
    <w:rsid w:val="22F722B3"/>
    <w:rsid w:val="230044F9"/>
    <w:rsid w:val="25253F4E"/>
    <w:rsid w:val="25D6079F"/>
    <w:rsid w:val="27E74129"/>
    <w:rsid w:val="28901CFF"/>
    <w:rsid w:val="28A63A77"/>
    <w:rsid w:val="28E75901"/>
    <w:rsid w:val="2F3A581B"/>
    <w:rsid w:val="2F683B53"/>
    <w:rsid w:val="2F937E28"/>
    <w:rsid w:val="30C2420B"/>
    <w:rsid w:val="310E58A1"/>
    <w:rsid w:val="322F2D66"/>
    <w:rsid w:val="32354DFC"/>
    <w:rsid w:val="323653FE"/>
    <w:rsid w:val="33082D45"/>
    <w:rsid w:val="3459486C"/>
    <w:rsid w:val="38402058"/>
    <w:rsid w:val="384F3434"/>
    <w:rsid w:val="3B326DB3"/>
    <w:rsid w:val="3C4E2A76"/>
    <w:rsid w:val="3D94095C"/>
    <w:rsid w:val="40147341"/>
    <w:rsid w:val="42917E16"/>
    <w:rsid w:val="449C2FE1"/>
    <w:rsid w:val="4D20467D"/>
    <w:rsid w:val="4E522BAF"/>
    <w:rsid w:val="50146947"/>
    <w:rsid w:val="51C74FB8"/>
    <w:rsid w:val="51F635A0"/>
    <w:rsid w:val="52FA6DA5"/>
    <w:rsid w:val="55D50741"/>
    <w:rsid w:val="58D331A8"/>
    <w:rsid w:val="5C013209"/>
    <w:rsid w:val="5C6B760E"/>
    <w:rsid w:val="5FF608A7"/>
    <w:rsid w:val="602D5FC1"/>
    <w:rsid w:val="608A34B1"/>
    <w:rsid w:val="63D95EC9"/>
    <w:rsid w:val="64702AD3"/>
    <w:rsid w:val="6C6E4B04"/>
    <w:rsid w:val="6D8E7496"/>
    <w:rsid w:val="6E16292A"/>
    <w:rsid w:val="7075590D"/>
    <w:rsid w:val="72DC3AFD"/>
    <w:rsid w:val="735C50AE"/>
    <w:rsid w:val="73E8476A"/>
    <w:rsid w:val="73F364FA"/>
    <w:rsid w:val="74742919"/>
    <w:rsid w:val="74EE54C4"/>
    <w:rsid w:val="750730DA"/>
    <w:rsid w:val="753B3DF9"/>
    <w:rsid w:val="77C83757"/>
    <w:rsid w:val="77E640D1"/>
    <w:rsid w:val="780B0ECF"/>
    <w:rsid w:val="78D6764B"/>
    <w:rsid w:val="7A992BBA"/>
    <w:rsid w:val="7B404F0F"/>
    <w:rsid w:val="7B450E59"/>
    <w:rsid w:val="7E6C6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1"/>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7">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link w:val="25"/>
    <w:qFormat/>
    <w:uiPriority w:val="0"/>
    <w:pPr>
      <w:jc w:val="left"/>
    </w:pPr>
    <w:rPr>
      <w:rFonts w:ascii="Arial" w:hAnsi="Arial" w:eastAsia="黑体"/>
      <w:b/>
      <w:sz w:val="32"/>
    </w:rPr>
  </w:style>
  <w:style w:type="paragraph" w:styleId="5">
    <w:name w:val="Body Text Indent"/>
    <w:basedOn w:val="1"/>
    <w:link w:val="26"/>
    <w:semiHidden/>
    <w:unhideWhenUsed/>
    <w:qFormat/>
    <w:uiPriority w:val="99"/>
    <w:pPr>
      <w:spacing w:after="120"/>
      <w:ind w:left="420" w:leftChars="200"/>
    </w:pPr>
  </w:style>
  <w:style w:type="paragraph" w:styleId="6">
    <w:name w:val="Date"/>
    <w:basedOn w:val="1"/>
    <w:next w:val="1"/>
    <w:link w:val="23"/>
    <w:semiHidden/>
    <w:unhideWhenUsed/>
    <w:qFormat/>
    <w:uiPriority w:val="99"/>
    <w:pPr>
      <w:ind w:left="100" w:leftChars="2500"/>
    </w:pPr>
  </w:style>
  <w:style w:type="paragraph" w:styleId="7">
    <w:name w:val="Body Text Indent 2"/>
    <w:basedOn w:val="1"/>
    <w:qFormat/>
    <w:uiPriority w:val="0"/>
    <w:pPr>
      <w:spacing w:after="120" w:line="480" w:lineRule="auto"/>
      <w:ind w:left="420" w:leftChars="200"/>
    </w:pPr>
    <w:rPr>
      <w:rFonts w:ascii="宋体"/>
      <w:sz w:val="32"/>
      <w:szCs w:val="22"/>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210"/>
    </w:pPr>
    <w:rPr>
      <w:rFonts w:ascii="Calibri" w:hAnsi="Calibri" w:eastAsia="宋体" w:cs="Times New Roman"/>
      <w:szCs w:val="24"/>
    </w:rPr>
  </w:style>
  <w:style w:type="paragraph" w:styleId="12">
    <w:name w:val="Body Text 2"/>
    <w:basedOn w:val="1"/>
    <w:next w:val="1"/>
    <w:qFormat/>
    <w:uiPriority w:val="0"/>
    <w:pPr>
      <w:spacing w:after="120" w:line="480" w:lineRule="auto"/>
    </w:pPr>
    <w:rPr>
      <w:kern w:val="0"/>
      <w:sz w:val="20"/>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5"/>
    <w:link w:val="27"/>
    <w:semiHidden/>
    <w:unhideWhenUsed/>
    <w:qFormat/>
    <w:uiPriority w:val="99"/>
    <w:pPr>
      <w:ind w:firstLine="420" w:firstLineChars="200"/>
    </w:pPr>
  </w:style>
  <w:style w:type="table" w:styleId="16">
    <w:name w:val="Table Grid"/>
    <w:basedOn w:val="1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semiHidden/>
    <w:unhideWhenUsed/>
    <w:qFormat/>
    <w:uiPriority w:val="99"/>
    <w:rPr>
      <w:rFonts w:cs="Times New Roman"/>
    </w:rPr>
  </w:style>
  <w:style w:type="character" w:styleId="19">
    <w:name w:val="Hyperlink"/>
    <w:basedOn w:val="17"/>
    <w:unhideWhenUsed/>
    <w:qFormat/>
    <w:uiPriority w:val="99"/>
    <w:rPr>
      <w:color w:val="0000FF"/>
      <w:u w:val="single"/>
    </w:rPr>
  </w:style>
  <w:style w:type="paragraph" w:customStyle="1" w:styleId="20">
    <w:name w:val="List Paragraph"/>
    <w:basedOn w:val="1"/>
    <w:qFormat/>
    <w:uiPriority w:val="34"/>
    <w:pPr>
      <w:ind w:firstLine="420" w:firstLineChars="200"/>
    </w:pPr>
    <w:rPr>
      <w:rFonts w:ascii="Times New Roman" w:hAnsi="Times New Roman" w:eastAsia="宋体" w:cs="Times New Roman"/>
      <w:szCs w:val="24"/>
    </w:rPr>
  </w:style>
  <w:style w:type="character" w:customStyle="1" w:styleId="21">
    <w:name w:val="页眉 Char"/>
    <w:basedOn w:val="17"/>
    <w:link w:val="10"/>
    <w:semiHidden/>
    <w:qFormat/>
    <w:uiPriority w:val="99"/>
    <w:rPr>
      <w:sz w:val="18"/>
      <w:szCs w:val="18"/>
    </w:rPr>
  </w:style>
  <w:style w:type="character" w:customStyle="1" w:styleId="22">
    <w:name w:val="页脚 Char"/>
    <w:basedOn w:val="17"/>
    <w:link w:val="9"/>
    <w:qFormat/>
    <w:uiPriority w:val="0"/>
    <w:rPr>
      <w:sz w:val="18"/>
      <w:szCs w:val="18"/>
    </w:rPr>
  </w:style>
  <w:style w:type="character" w:customStyle="1" w:styleId="23">
    <w:name w:val="日期 Char"/>
    <w:basedOn w:val="17"/>
    <w:link w:val="6"/>
    <w:semiHidden/>
    <w:qFormat/>
    <w:uiPriority w:val="99"/>
  </w:style>
  <w:style w:type="character" w:customStyle="1" w:styleId="24">
    <w:name w:val="正文文本 Char"/>
    <w:link w:val="2"/>
    <w:qFormat/>
    <w:locked/>
    <w:uiPriority w:val="0"/>
    <w:rPr>
      <w:rFonts w:ascii="Arial" w:hAnsi="Arial" w:eastAsia="黑体"/>
      <w:b/>
      <w:sz w:val="32"/>
    </w:rPr>
  </w:style>
  <w:style w:type="character" w:customStyle="1" w:styleId="25">
    <w:name w:val="正文文本 Char1"/>
    <w:basedOn w:val="17"/>
    <w:link w:val="2"/>
    <w:semiHidden/>
    <w:qFormat/>
    <w:uiPriority w:val="99"/>
  </w:style>
  <w:style w:type="character" w:customStyle="1" w:styleId="26">
    <w:name w:val="正文文本缩进 Char"/>
    <w:basedOn w:val="17"/>
    <w:link w:val="5"/>
    <w:semiHidden/>
    <w:qFormat/>
    <w:uiPriority w:val="99"/>
  </w:style>
  <w:style w:type="character" w:customStyle="1" w:styleId="27">
    <w:name w:val="正文首行缩进 2 Char"/>
    <w:basedOn w:val="26"/>
    <w:link w:val="14"/>
    <w:semiHidden/>
    <w:qFormat/>
    <w:uiPriority w:val="99"/>
  </w:style>
  <w:style w:type="character" w:customStyle="1" w:styleId="28">
    <w:name w:val="批注框文本 Char"/>
    <w:basedOn w:val="17"/>
    <w:link w:val="8"/>
    <w:semiHidden/>
    <w:qFormat/>
    <w:uiPriority w:val="99"/>
    <w:rPr>
      <w:sz w:val="18"/>
      <w:szCs w:val="18"/>
    </w:rPr>
  </w:style>
  <w:style w:type="paragraph" w:customStyle="1" w:styleId="29">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30">
    <w:name w:val="目录 21"/>
    <w:basedOn w:val="1"/>
    <w:qFormat/>
    <w:uiPriority w:val="0"/>
    <w:pPr>
      <w:ind w:left="420"/>
    </w:pPr>
    <w:rPr>
      <w:rFonts w:eastAsia="仿宋_GB2312"/>
      <w:b/>
      <w:sz w:val="24"/>
    </w:rPr>
  </w:style>
  <w:style w:type="character" w:customStyle="1" w:styleId="31">
    <w:name w:val="标题 1 Char"/>
    <w:basedOn w:val="17"/>
    <w:link w:val="3"/>
    <w:qFormat/>
    <w:uiPriority w:val="0"/>
    <w:rPr>
      <w:rFonts w:ascii="Times New Roman" w:hAnsi="Times New Roman" w:eastAsia="黑体"/>
      <w:b/>
      <w:bCs/>
      <w:kern w:val="44"/>
      <w:sz w:val="30"/>
      <w:szCs w:val="44"/>
    </w:rPr>
  </w:style>
  <w:style w:type="character" w:customStyle="1" w:styleId="32">
    <w:name w:val="font101"/>
    <w:basedOn w:val="17"/>
    <w:qFormat/>
    <w:uiPriority w:val="0"/>
    <w:rPr>
      <w:rFonts w:hint="eastAsia" w:ascii="宋体" w:hAnsi="宋体" w:eastAsia="宋体" w:cs="宋体"/>
      <w:color w:val="FF0000"/>
      <w:sz w:val="20"/>
      <w:szCs w:val="20"/>
      <w:u w:val="none"/>
    </w:rPr>
  </w:style>
  <w:style w:type="paragraph" w:customStyle="1" w:styleId="33">
    <w:name w:val="节标题"/>
    <w:basedOn w:val="1"/>
    <w:next w:val="1"/>
    <w:qFormat/>
    <w:uiPriority w:val="0"/>
    <w:pPr>
      <w:widowControl/>
      <w:spacing w:line="289" w:lineRule="atLeast"/>
      <w:jc w:val="center"/>
      <w:textAlignment w:val="baseline"/>
    </w:pPr>
    <w:rPr>
      <w:color w:val="000000"/>
      <w:kern w:val="0"/>
      <w:sz w:val="28"/>
    </w:rPr>
  </w:style>
  <w:style w:type="paragraph" w:customStyle="1" w:styleId="34">
    <w:name w:val="p0"/>
    <w:basedOn w:val="1"/>
    <w:qFormat/>
    <w:uiPriority w:val="0"/>
    <w:pPr>
      <w:widowControl/>
    </w:pPr>
    <w:rPr>
      <w:rFonts w:cs="宋体"/>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972</Words>
  <Characters>977</Characters>
  <Lines>6</Lines>
  <Paragraphs>1</Paragraphs>
  <TotalTime>13</TotalTime>
  <ScaleCrop>false</ScaleCrop>
  <LinksUpToDate>false</LinksUpToDate>
  <CharactersWithSpaces>997</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能能</cp:lastModifiedBy>
  <cp:lastPrinted>2024-08-02T08:38:00Z</cp:lastPrinted>
  <dcterms:modified xsi:type="dcterms:W3CDTF">2025-07-16T07:21:02Z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5454054EEDDD420495B91241D8CDEB4A</vt:lpwstr>
  </property>
  <property fmtid="{D5CDD505-2E9C-101B-9397-08002B2CF9AE}" pid="4" name="KSOTemplateDocerSaveRecord">
    <vt:lpwstr>eyJoZGlkIjoiNDM3MTYzMDhhOTc5YTExMzg1YTM0MTdhNjM0ZDllMjgiLCJ1c2VySWQiOiI0MzkxNjI2NzYifQ==</vt:lpwstr>
  </property>
</Properties>
</file>