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default" w:ascii="宋体" w:hAnsi="宋体" w:eastAsia="宋体" w:cs="宋体"/>
          <w:color w:val="000000" w:themeColor="text1"/>
          <w:spacing w:val="-20"/>
          <w:kern w:val="2"/>
          <w:sz w:val="40"/>
          <w:szCs w:val="40"/>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2"/>
          <w:sz w:val="40"/>
          <w:szCs w:val="40"/>
          <w:highlight w:val="none"/>
          <w:lang w:val="en-US" w:eastAsia="zh-CN" w:bidi="ar-SA"/>
          <w14:textFill>
            <w14:solidFill>
              <w14:schemeClr w14:val="tx1"/>
            </w14:solidFill>
          </w14:textFill>
        </w:rPr>
        <w:t>马鞍山市</w:t>
      </w:r>
      <w:r>
        <w:rPr>
          <w:rFonts w:hint="eastAsia" w:ascii="宋体" w:hAnsi="宋体" w:cs="宋体"/>
          <w:color w:val="000000" w:themeColor="text1"/>
          <w:spacing w:val="-20"/>
          <w:kern w:val="2"/>
          <w:sz w:val="40"/>
          <w:szCs w:val="40"/>
          <w:highlight w:val="none"/>
          <w:lang w:val="en-US" w:eastAsia="zh-CN" w:bidi="ar-SA"/>
          <w14:textFill>
            <w14:solidFill>
              <w14:schemeClr w14:val="tx1"/>
            </w14:solidFill>
          </w14:textFill>
        </w:rPr>
        <w:t>中医院文创工坊家具家电采购需求</w:t>
      </w: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一、采购清单</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92"/>
        <w:gridCol w:w="976"/>
        <w:gridCol w:w="4662"/>
        <w:gridCol w:w="1125"/>
        <w:gridCol w:w="43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标段</w:t>
            </w:r>
          </w:p>
        </w:tc>
        <w:tc>
          <w:tcPr>
            <w:tcW w:w="492"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名称</w:t>
            </w:r>
          </w:p>
        </w:tc>
        <w:tc>
          <w:tcPr>
            <w:tcW w:w="976"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规格</w:t>
            </w:r>
          </w:p>
        </w:tc>
        <w:tc>
          <w:tcPr>
            <w:tcW w:w="4662"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采购参数</w:t>
            </w:r>
          </w:p>
        </w:tc>
        <w:tc>
          <w:tcPr>
            <w:tcW w:w="1125"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图片</w:t>
            </w:r>
          </w:p>
        </w:tc>
        <w:tc>
          <w:tcPr>
            <w:tcW w:w="435"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数量</w:t>
            </w:r>
          </w:p>
        </w:tc>
        <w:tc>
          <w:tcPr>
            <w:tcW w:w="768"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439" w:type="dxa"/>
            <w:vMerge w:val="restart"/>
            <w:vAlign w:val="center"/>
          </w:tcPr>
          <w:p>
            <w:pPr>
              <w:jc w:val="center"/>
              <w:rPr>
                <w:rFonts w:hint="default"/>
                <w:vertAlign w:val="baseline"/>
                <w:lang w:val="en-US" w:eastAsia="zh-CN"/>
              </w:rPr>
            </w:pPr>
            <w:r>
              <w:rPr>
                <w:rFonts w:hint="eastAsia"/>
                <w:vertAlign w:val="baseline"/>
                <w:lang w:val="en-US" w:eastAsia="zh-CN"/>
              </w:rPr>
              <w:t>一标</w:t>
            </w:r>
          </w:p>
        </w:tc>
        <w:tc>
          <w:tcPr>
            <w:tcW w:w="492"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折叠桌</w:t>
            </w:r>
          </w:p>
          <w:p>
            <w:pPr>
              <w:jc w:val="center"/>
              <w:rPr>
                <w:rFonts w:hint="eastAsia"/>
                <w:vertAlign w:val="baseline"/>
                <w:lang w:val="en-US" w:eastAsia="zh-CN"/>
              </w:rPr>
            </w:pPr>
          </w:p>
        </w:tc>
        <w:tc>
          <w:tcPr>
            <w:tcW w:w="976"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长宽高约1400mm*450mm*750mm</w:t>
            </w:r>
            <w:r>
              <w:rPr>
                <w:rFonts w:hint="default" w:ascii="Times New Roman" w:hAnsi="Times New Roman" w:eastAsia="仿宋_GB2312" w:cs="Times New Roman"/>
                <w:b/>
                <w:bCs/>
                <w:sz w:val="21"/>
                <w:szCs w:val="21"/>
                <w:vertAlign w:val="baseline"/>
                <w:lang w:val="en-US" w:eastAsia="zh-CN"/>
              </w:rPr>
              <w:t>（±10mm</w:t>
            </w:r>
          </w:p>
        </w:tc>
        <w:tc>
          <w:tcPr>
            <w:tcW w:w="4662" w:type="dxa"/>
            <w:vMerge w:val="restart"/>
            <w:vAlign w:val="center"/>
          </w:tcPr>
          <w:p>
            <w:pPr>
              <w:jc w:val="left"/>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一、</w:t>
            </w:r>
            <w:r>
              <w:rPr>
                <w:rFonts w:hint="default" w:ascii="Times New Roman" w:hAnsi="Times New Roman" w:eastAsia="仿宋_GB2312" w:cs="Times New Roman"/>
                <w:b/>
                <w:bCs/>
                <w:sz w:val="21"/>
                <w:szCs w:val="21"/>
                <w:vertAlign w:val="baseline"/>
                <w:lang w:val="en-US" w:eastAsia="zh-CN"/>
              </w:rPr>
              <w:t>桌面材质与工艺：</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基材</w:t>
            </w:r>
            <w:r>
              <w:rPr>
                <w:rFonts w:hint="default" w:ascii="Times New Roman" w:hAnsi="Times New Roman" w:eastAsia="仿宋_GB2312" w:cs="Times New Roman"/>
                <w:sz w:val="21"/>
                <w:szCs w:val="21"/>
                <w:vertAlign w:val="baseline"/>
                <w:lang w:val="en-US" w:eastAsia="zh-CN"/>
              </w:rPr>
              <w:t>： 优质环保中密度纤维板 (MDF)、刨花板 (Particle Board， 需高密度) 或实木多层板。要求达到或优于国标E1级环保标准 (提供检测报告)。</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饰面：</w:t>
            </w:r>
            <w:r>
              <w:rPr>
                <w:rFonts w:hint="default" w:ascii="Times New Roman" w:hAnsi="Times New Roman" w:eastAsia="仿宋_GB2312" w:cs="Times New Roman"/>
                <w:sz w:val="21"/>
                <w:szCs w:val="21"/>
                <w:vertAlign w:val="baseline"/>
                <w:lang w:val="en-US" w:eastAsia="zh-CN"/>
              </w:rPr>
              <w:t> 三聚氰胺浸渍纸 (Melamine)、防火板 (HPL)、实木皮贴面 (Veneer)、或优质环保油漆 (Lacquer)。</w:t>
            </w:r>
            <w:r>
              <w:rPr>
                <w:rFonts w:hint="default" w:ascii="Times New Roman" w:hAnsi="Times New Roman" w:eastAsia="仿宋_GB2312" w:cs="Times New Roman"/>
                <w:b/>
                <w:bCs/>
                <w:sz w:val="21"/>
                <w:szCs w:val="21"/>
                <w:vertAlign w:val="baseline"/>
                <w:lang w:val="en-US" w:eastAsia="zh-CN"/>
              </w:rPr>
              <w:t>要求：</w:t>
            </w:r>
            <w:r>
              <w:rPr>
                <w:rFonts w:hint="default" w:ascii="Times New Roman" w:hAnsi="Times New Roman" w:eastAsia="仿宋_GB2312" w:cs="Times New Roman"/>
                <w:sz w:val="21"/>
                <w:szCs w:val="21"/>
                <w:vertAlign w:val="baseline"/>
                <w:lang w:val="en-US" w:eastAsia="zh-CN"/>
              </w:rPr>
              <w:t>表面耐磨、耐刮、耐污、易清洁。抗冲击，不易开裂、起泡、脱层。边部封边严密、牢固、平整光滑，无脱胶、翘边现象。</w:t>
            </w:r>
            <w:r>
              <w:rPr>
                <w:rFonts w:hint="eastAsia" w:ascii="Times New Roman" w:hAnsi="Times New Roman" w:eastAsia="仿宋_GB2312" w:cs="Times New Roman"/>
                <w:sz w:val="21"/>
                <w:szCs w:val="21"/>
                <w:vertAlign w:val="baseline"/>
                <w:lang w:val="en-US" w:eastAsia="zh-CN"/>
              </w:rPr>
              <w:t>如</w:t>
            </w:r>
            <w:r>
              <w:rPr>
                <w:rFonts w:hint="default" w:ascii="Times New Roman" w:hAnsi="Times New Roman" w:eastAsia="仿宋_GB2312" w:cs="Times New Roman"/>
                <w:sz w:val="21"/>
                <w:szCs w:val="21"/>
                <w:vertAlign w:val="baseline"/>
                <w:lang w:val="en-US" w:eastAsia="zh-CN"/>
              </w:rPr>
              <w:t>采用PVC或ABS同色封边条，厚度≥ 2mm。</w:t>
            </w:r>
          </w:p>
          <w:p>
            <w:pPr>
              <w:jc w:val="left"/>
              <w:rPr>
                <w:rFonts w:hint="eastAsia"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框架与支撑结构：</w:t>
            </w:r>
            <w:r>
              <w:rPr>
                <w:rFonts w:hint="default" w:ascii="Times New Roman" w:hAnsi="Times New Roman" w:eastAsia="仿宋_GB2312" w:cs="Times New Roman"/>
                <w:sz w:val="21"/>
                <w:szCs w:val="21"/>
                <w:vertAlign w:val="baseline"/>
                <w:lang w:val="en-US" w:eastAsia="zh-CN"/>
              </w:rPr>
              <w:t>框架材质： 优质冷轧钢板 (厚度 ≥ 1.2mm)、高强度铝合金型材 (壁厚 ≥ 1.5mm) 或坚固硬木</w:t>
            </w:r>
            <w:r>
              <w:rPr>
                <w:rFonts w:hint="eastAsia" w:ascii="Times New Roman" w:hAnsi="Times New Roman" w:eastAsia="仿宋_GB2312" w:cs="Times New Roman"/>
                <w:sz w:val="21"/>
                <w:szCs w:val="21"/>
                <w:vertAlign w:val="baseline"/>
                <w:lang w:val="en-US" w:eastAsia="zh-CN"/>
              </w:rPr>
              <w:t>。</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桌腿/支撑脚：</w:t>
            </w:r>
            <w:r>
              <w:rPr>
                <w:rFonts w:hint="default" w:ascii="Times New Roman" w:hAnsi="Times New Roman" w:eastAsia="仿宋_GB2312" w:cs="Times New Roman"/>
                <w:sz w:val="21"/>
                <w:szCs w:val="21"/>
                <w:vertAlign w:val="baseline"/>
                <w:lang w:val="en-US" w:eastAsia="zh-CN"/>
              </w:rPr>
              <w:t>材质：与框架匹配的金属或高强度工程塑料。</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结构：</w:t>
            </w:r>
            <w:r>
              <w:rPr>
                <w:rFonts w:hint="default" w:ascii="Times New Roman" w:hAnsi="Times New Roman" w:eastAsia="仿宋_GB2312" w:cs="Times New Roman"/>
                <w:sz w:val="21"/>
                <w:szCs w:val="21"/>
                <w:vertAlign w:val="baseline"/>
                <w:lang w:val="en-US" w:eastAsia="zh-CN"/>
              </w:rPr>
              <w:t>稳固可靠，可折叠收拢或带有可调节脚垫 (调节范围 ≥ ±5mm)，以适应轻微不平整地面。</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脚垫/滑轮 (可选)：</w:t>
            </w:r>
            <w:r>
              <w:rPr>
                <w:rFonts w:hint="default" w:ascii="Times New Roman" w:hAnsi="Times New Roman" w:eastAsia="仿宋_GB2312" w:cs="Times New Roman"/>
                <w:sz w:val="21"/>
                <w:szCs w:val="21"/>
                <w:vertAlign w:val="baseline"/>
                <w:lang w:val="en-US" w:eastAsia="zh-CN"/>
              </w:rPr>
              <w:t>固定脚垫： 优质橡胶/PVC脚垫，防滑、耐磨、不伤地板。</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带轮设计：</w:t>
            </w:r>
            <w:r>
              <w:rPr>
                <w:rFonts w:hint="default" w:ascii="Times New Roman" w:hAnsi="Times New Roman" w:eastAsia="仿宋_GB2312" w:cs="Times New Roman"/>
                <w:sz w:val="21"/>
                <w:szCs w:val="21"/>
                <w:vertAlign w:val="baseline"/>
                <w:lang w:val="en-US" w:eastAsia="zh-CN"/>
              </w:rPr>
              <w:t> 桌腿带万向刹车轮 (≥2个)，轮子需静音、承重好、带锁定功能。其余桌腿为固定脚垫。</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折叠类型</w:t>
            </w:r>
            <w:r>
              <w:rPr>
                <w:rFonts w:hint="default" w:ascii="Times New Roman" w:hAnsi="Times New Roman" w:eastAsia="仿宋_GB2312" w:cs="Times New Roman"/>
                <w:sz w:val="21"/>
                <w:szCs w:val="21"/>
                <w:vertAlign w:val="baseline"/>
                <w:lang w:val="en-US" w:eastAsia="zh-CN"/>
              </w:rPr>
              <w:t>： 中心对折式、蝴蝶式折叠、或其他成熟可靠的折叠方式。</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要求：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操作便捷：</w:t>
            </w:r>
            <w:r>
              <w:rPr>
                <w:rFonts w:hint="default" w:ascii="Times New Roman" w:hAnsi="Times New Roman" w:eastAsia="仿宋_GB2312" w:cs="Times New Roman"/>
                <w:sz w:val="21"/>
                <w:szCs w:val="21"/>
                <w:vertAlign w:val="baseline"/>
                <w:lang w:val="en-US" w:eastAsia="zh-CN"/>
              </w:rPr>
              <w:t> 开合顺畅，省力。应有明确的操作指示或解锁装置。</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安全可靠：</w:t>
            </w:r>
            <w:r>
              <w:rPr>
                <w:rFonts w:hint="default" w:ascii="Times New Roman" w:hAnsi="Times New Roman" w:eastAsia="仿宋_GB2312" w:cs="Times New Roman"/>
                <w:sz w:val="21"/>
                <w:szCs w:val="21"/>
                <w:vertAlign w:val="baseline"/>
                <w:lang w:val="en-US" w:eastAsia="zh-CN"/>
              </w:rPr>
              <w:t> 具备安全锁定装置 (展开时自动锁定或手动锁定)，使用中不会意外折叠。折叠处应有防夹手设计。</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耐用性：</w:t>
            </w:r>
            <w:r>
              <w:rPr>
                <w:rFonts w:hint="default" w:ascii="Times New Roman" w:hAnsi="Times New Roman" w:eastAsia="仿宋_GB2312" w:cs="Times New Roman"/>
                <w:sz w:val="21"/>
                <w:szCs w:val="21"/>
                <w:vertAlign w:val="baseline"/>
                <w:lang w:val="en-US" w:eastAsia="zh-CN"/>
              </w:rPr>
              <w:t> 铰链、转轴等关键五金件应采用优质钢材或合金，强度高、耐磨、耐腐蚀，开合寿命 ≥ 10,000 次无损坏、无严重松动异响。</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稳定性： 展开后整体结构稳固，无明显晃动。</w:t>
            </w:r>
          </w:p>
          <w:p>
            <w:pPr>
              <w:jc w:val="left"/>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二、</w:t>
            </w:r>
            <w:r>
              <w:rPr>
                <w:rFonts w:hint="default" w:ascii="Times New Roman" w:hAnsi="Times New Roman" w:eastAsia="仿宋_GB2312" w:cs="Times New Roman"/>
                <w:b/>
                <w:bCs/>
                <w:sz w:val="21"/>
                <w:szCs w:val="21"/>
                <w:vertAlign w:val="baseline"/>
                <w:lang w:val="en-US" w:eastAsia="zh-CN"/>
              </w:rPr>
              <w:t>承重性能：</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静态承重：</w:t>
            </w:r>
            <w:r>
              <w:rPr>
                <w:rFonts w:hint="default" w:ascii="Times New Roman" w:hAnsi="Times New Roman" w:eastAsia="仿宋_GB2312" w:cs="Times New Roman"/>
                <w:sz w:val="21"/>
                <w:szCs w:val="21"/>
                <w:vertAlign w:val="baseline"/>
                <w:lang w:val="en-US" w:eastAsia="zh-CN"/>
              </w:rPr>
              <w:t xml:space="preserve"> 桌面均匀承重 ≥ </w:t>
            </w:r>
            <w:r>
              <w:rPr>
                <w:rFonts w:hint="eastAsia" w:ascii="Times New Roman" w:hAnsi="Times New Roman" w:eastAsia="仿宋_GB2312" w:cs="Times New Roman"/>
                <w:sz w:val="21"/>
                <w:szCs w:val="21"/>
                <w:vertAlign w:val="baseline"/>
                <w:lang w:val="en-US" w:eastAsia="zh-CN"/>
              </w:rPr>
              <w:t>150</w:t>
            </w:r>
            <w:r>
              <w:rPr>
                <w:rFonts w:hint="default" w:ascii="Times New Roman" w:hAnsi="Times New Roman" w:eastAsia="仿宋_GB2312" w:cs="Times New Roman"/>
                <w:sz w:val="21"/>
                <w:szCs w:val="21"/>
                <w:vertAlign w:val="baseline"/>
                <w:lang w:val="en-US" w:eastAsia="zh-CN"/>
              </w:rPr>
              <w:t>kg时，桌面下沉量 ≤ 3mm，结构无永久变形、异响。</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 xml:space="preserve">桌面边缘承重： 桌面边缘 (离边沿 50mm 处) 承受 ≥ </w:t>
            </w:r>
            <w:r>
              <w:rPr>
                <w:rFonts w:hint="eastAsia" w:ascii="Times New Roman" w:hAnsi="Times New Roman" w:eastAsia="仿宋_GB2312" w:cs="Times New Roman"/>
                <w:sz w:val="21"/>
                <w:szCs w:val="21"/>
                <w:vertAlign w:val="baseline"/>
                <w:lang w:val="en-US" w:eastAsia="zh-CN"/>
              </w:rPr>
              <w:t>60</w:t>
            </w:r>
            <w:r>
              <w:rPr>
                <w:rFonts w:hint="default" w:ascii="Times New Roman" w:hAnsi="Times New Roman" w:eastAsia="仿宋_GB2312" w:cs="Times New Roman"/>
                <w:sz w:val="21"/>
                <w:szCs w:val="21"/>
                <w:vertAlign w:val="baseline"/>
                <w:lang w:val="en-US" w:eastAsia="zh-CN"/>
              </w:rPr>
              <w:t>kg 压力时，无明显下塌变形。</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表面处理：</w:t>
            </w:r>
            <w:r>
              <w:rPr>
                <w:rFonts w:hint="default" w:ascii="Times New Roman" w:hAnsi="Times New Roman" w:eastAsia="仿宋_GB2312" w:cs="Times New Roman"/>
                <w:sz w:val="21"/>
                <w:szCs w:val="21"/>
                <w:vertAlign w:val="baseline"/>
                <w:lang w:val="en-US" w:eastAsia="zh-CN"/>
              </w:rPr>
              <w:t>金属部件 (框架、桌腿、五金件) 应进行防锈处理 (如磷化、喷塑、电镀、氧化等)，涂层均匀、牢固、无色差、无流挂、无剥落。颜色需与整体设计协调。塑料部件应色泽均匀，无毛刺，无变形。</w:t>
            </w:r>
          </w:p>
          <w:p>
            <w:pPr>
              <w:jc w:val="left"/>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三、</w:t>
            </w:r>
            <w:r>
              <w:rPr>
                <w:rFonts w:hint="default" w:ascii="Times New Roman" w:hAnsi="Times New Roman" w:eastAsia="仿宋_GB2312" w:cs="Times New Roman"/>
                <w:b/>
                <w:bCs/>
                <w:sz w:val="21"/>
                <w:szCs w:val="21"/>
                <w:vertAlign w:val="baseline"/>
                <w:lang w:val="en-US" w:eastAsia="zh-CN"/>
              </w:rPr>
              <w:t>安全与环保要求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结构安全：</w:t>
            </w:r>
            <w:r>
              <w:rPr>
                <w:rFonts w:hint="default" w:ascii="Times New Roman" w:hAnsi="Times New Roman" w:eastAsia="仿宋_GB2312" w:cs="Times New Roman"/>
                <w:sz w:val="21"/>
                <w:szCs w:val="21"/>
                <w:vertAlign w:val="baseline"/>
                <w:lang w:val="en-US" w:eastAsia="zh-CN"/>
              </w:rPr>
              <w:t> 边角应做圆角或倒角处理，无尖锐突出物。折叠机构防夹手。</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稳定性： 通过稳定性测试，不易倾翻。</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环保标准：</w:t>
            </w:r>
          </w:p>
          <w:p>
            <w:pPr>
              <w:jc w:val="left"/>
              <w:rPr>
                <w:rFonts w:hint="eastAsia"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板材甲醛释放量符合 GB 18580-2017 《室内装饰装修材料 人造板及其制品中甲醛释放限量》中的 E1级 (≤ 0.124mg/m³) 或更高标准 (如E0级)。</w:t>
            </w:r>
          </w:p>
        </w:tc>
        <w:tc>
          <w:tcPr>
            <w:tcW w:w="1125" w:type="dxa"/>
            <w:vAlign w:val="center"/>
          </w:tcPr>
          <w:p>
            <w:pPr>
              <w:jc w:val="center"/>
              <w:rPr>
                <w:rFonts w:hint="eastAsia" w:ascii="Times New Roman" w:hAnsi="Times New Roman" w:eastAsia="仿宋_GB2312" w:cs="Times New Roman"/>
                <w:kern w:val="2"/>
                <w:sz w:val="21"/>
                <w:szCs w:val="21"/>
                <w:vertAlign w:val="baseline"/>
                <w:lang w:val="en-US" w:eastAsia="zh-CN" w:bidi="ar-SA"/>
              </w:rPr>
            </w:pPr>
            <w:r>
              <w:rPr>
                <w:rFonts w:hint="eastAsia" w:ascii="宋体" w:hAnsi="宋体" w:eastAsia="宋体" w:cs="宋体"/>
                <w:b/>
                <w:bCs/>
                <w:color w:val="000000"/>
                <w:kern w:val="0"/>
                <w:sz w:val="22"/>
                <w:szCs w:val="22"/>
                <w:lang w:eastAsia="zh-CN"/>
              </w:rPr>
              <w:drawing>
                <wp:inline distT="0" distB="0" distL="114300" distR="114300">
                  <wp:extent cx="619760" cy="785495"/>
                  <wp:effectExtent l="0" t="0" r="8890" b="14605"/>
                  <wp:docPr id="1" name="图片 1" descr="微信图片_2025072111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21114445"/>
                          <pic:cNvPicPr>
                            <a:picLocks noChangeAspect="1"/>
                          </pic:cNvPicPr>
                        </pic:nvPicPr>
                        <pic:blipFill>
                          <a:blip r:embed="rId4"/>
                          <a:stretch>
                            <a:fillRect/>
                          </a:stretch>
                        </pic:blipFill>
                        <pic:spPr>
                          <a:xfrm>
                            <a:off x="0" y="0"/>
                            <a:ext cx="619760" cy="785495"/>
                          </a:xfrm>
                          <a:prstGeom prst="rect">
                            <a:avLst/>
                          </a:prstGeom>
                        </pic:spPr>
                      </pic:pic>
                    </a:graphicData>
                  </a:graphic>
                </wp:inline>
              </w:drawing>
            </w:r>
          </w:p>
        </w:tc>
        <w:tc>
          <w:tcPr>
            <w:tcW w:w="435" w:type="dxa"/>
            <w:vAlign w:val="center"/>
          </w:tcPr>
          <w:p>
            <w:pPr>
              <w:jc w:val="center"/>
              <w:rPr>
                <w:rFonts w:hint="default"/>
                <w:vertAlign w:val="baseline"/>
                <w:lang w:val="en-US" w:eastAsia="zh-CN"/>
              </w:rPr>
            </w:pPr>
            <w:r>
              <w:rPr>
                <w:rFonts w:hint="eastAsia"/>
                <w:vertAlign w:val="baseline"/>
                <w:lang w:val="en-US" w:eastAsia="zh-CN"/>
              </w:rPr>
              <w:t>20张</w:t>
            </w:r>
          </w:p>
        </w:tc>
        <w:tc>
          <w:tcPr>
            <w:tcW w:w="768" w:type="dxa"/>
            <w:vAlign w:val="center"/>
          </w:tcPr>
          <w:p>
            <w:pPr>
              <w:jc w:val="center"/>
              <w:rPr>
                <w:rFonts w:hint="default"/>
                <w:vertAlign w:val="baseline"/>
                <w:lang w:val="en-US" w:eastAsia="zh-CN"/>
              </w:rPr>
            </w:pPr>
            <w:r>
              <w:rPr>
                <w:rFonts w:hint="eastAsia"/>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439" w:type="dxa"/>
            <w:vMerge w:val="continue"/>
            <w:vAlign w:val="center"/>
          </w:tcPr>
          <w:p>
            <w:pPr>
              <w:jc w:val="center"/>
              <w:rPr>
                <w:rFonts w:hint="eastAsia"/>
                <w:vertAlign w:val="baseline"/>
                <w:lang w:val="en-US" w:eastAsia="zh-CN"/>
              </w:rPr>
            </w:pPr>
          </w:p>
        </w:tc>
        <w:tc>
          <w:tcPr>
            <w:tcW w:w="492"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折叠桌</w:t>
            </w:r>
          </w:p>
          <w:p>
            <w:pPr>
              <w:jc w:val="center"/>
              <w:rPr>
                <w:rFonts w:hint="default" w:ascii="Times New Roman" w:hAnsi="Times New Roman" w:eastAsia="仿宋_GB2312" w:cs="Times New Roman"/>
                <w:b w:val="0"/>
                <w:bCs w:val="0"/>
                <w:sz w:val="21"/>
                <w:szCs w:val="21"/>
                <w:vertAlign w:val="baseline"/>
                <w:lang w:val="en-US" w:eastAsia="zh-CN"/>
              </w:rPr>
            </w:pPr>
          </w:p>
          <w:p>
            <w:pPr>
              <w:jc w:val="center"/>
              <w:rPr>
                <w:rFonts w:hint="eastAsia" w:ascii="Times New Roman" w:hAnsi="Times New Roman" w:eastAsia="仿宋_GB2312" w:cs="Times New Roman"/>
                <w:b/>
                <w:bCs/>
                <w:sz w:val="21"/>
                <w:szCs w:val="21"/>
                <w:vertAlign w:val="baseline"/>
                <w:lang w:val="en-US" w:eastAsia="zh-CN"/>
              </w:rPr>
            </w:pPr>
          </w:p>
        </w:tc>
        <w:tc>
          <w:tcPr>
            <w:tcW w:w="976"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长宽高约1400mm*600mm*750mm</w:t>
            </w:r>
            <w:r>
              <w:rPr>
                <w:rFonts w:hint="default" w:ascii="Times New Roman" w:hAnsi="Times New Roman" w:eastAsia="仿宋_GB2312" w:cs="Times New Roman"/>
                <w:b/>
                <w:bCs/>
                <w:sz w:val="21"/>
                <w:szCs w:val="21"/>
                <w:vertAlign w:val="baseline"/>
                <w:lang w:val="en-US" w:eastAsia="zh-CN"/>
              </w:rPr>
              <w:t>（±10mm</w:t>
            </w:r>
          </w:p>
        </w:tc>
        <w:tc>
          <w:tcPr>
            <w:tcW w:w="4662" w:type="dxa"/>
            <w:vMerge w:val="continue"/>
            <w:vAlign w:val="center"/>
          </w:tcPr>
          <w:p>
            <w:pPr>
              <w:jc w:val="left"/>
              <w:rPr>
                <w:rFonts w:hint="default" w:ascii="Times New Roman" w:hAnsi="Times New Roman" w:eastAsia="仿宋_GB2312" w:cs="Times New Roman"/>
                <w:sz w:val="21"/>
                <w:szCs w:val="21"/>
                <w:vertAlign w:val="baseline"/>
                <w:lang w:val="en-US" w:eastAsia="zh-CN"/>
              </w:rPr>
            </w:pPr>
          </w:p>
        </w:tc>
        <w:tc>
          <w:tcPr>
            <w:tcW w:w="1125" w:type="dxa"/>
            <w:vAlign w:val="center"/>
          </w:tcPr>
          <w:p>
            <w:pPr>
              <w:jc w:val="center"/>
              <w:rPr>
                <w:rFonts w:hint="eastAsia" w:ascii="Times New Roman" w:hAnsi="Times New Roman" w:eastAsia="仿宋_GB2312" w:cs="Times New Roman"/>
                <w:kern w:val="2"/>
                <w:sz w:val="21"/>
                <w:szCs w:val="21"/>
                <w:vertAlign w:val="baseline"/>
                <w:lang w:val="en-US" w:eastAsia="zh-CN" w:bidi="ar-SA"/>
              </w:rPr>
            </w:pPr>
            <w:r>
              <w:rPr>
                <w:rFonts w:hint="eastAsia" w:ascii="宋体" w:hAnsi="宋体" w:eastAsia="宋体" w:cs="宋体"/>
                <w:b/>
                <w:bCs/>
                <w:color w:val="000000"/>
                <w:kern w:val="0"/>
                <w:sz w:val="22"/>
                <w:szCs w:val="22"/>
                <w:lang w:eastAsia="zh-CN"/>
              </w:rPr>
              <w:drawing>
                <wp:inline distT="0" distB="0" distL="114300" distR="114300">
                  <wp:extent cx="619760" cy="785495"/>
                  <wp:effectExtent l="0" t="0" r="8890" b="14605"/>
                  <wp:docPr id="4" name="图片 4" descr="微信图片_2025072111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721114445"/>
                          <pic:cNvPicPr>
                            <a:picLocks noChangeAspect="1"/>
                          </pic:cNvPicPr>
                        </pic:nvPicPr>
                        <pic:blipFill>
                          <a:blip r:embed="rId4"/>
                          <a:stretch>
                            <a:fillRect/>
                          </a:stretch>
                        </pic:blipFill>
                        <pic:spPr>
                          <a:xfrm>
                            <a:off x="0" y="0"/>
                            <a:ext cx="619760" cy="785495"/>
                          </a:xfrm>
                          <a:prstGeom prst="rect">
                            <a:avLst/>
                          </a:prstGeom>
                        </pic:spPr>
                      </pic:pic>
                    </a:graphicData>
                  </a:graphic>
                </wp:inline>
              </w:drawing>
            </w:r>
          </w:p>
        </w:tc>
        <w:tc>
          <w:tcPr>
            <w:tcW w:w="435" w:type="dxa"/>
            <w:vAlign w:val="center"/>
          </w:tcPr>
          <w:p>
            <w:pPr>
              <w:jc w:val="center"/>
              <w:rPr>
                <w:rFonts w:hint="default"/>
                <w:vertAlign w:val="baseline"/>
                <w:lang w:val="en-US" w:eastAsia="zh-CN"/>
              </w:rPr>
            </w:pPr>
            <w:r>
              <w:rPr>
                <w:rFonts w:hint="eastAsia"/>
                <w:vertAlign w:val="baseline"/>
                <w:lang w:val="en-US" w:eastAsia="zh-CN"/>
              </w:rPr>
              <w:t>1张</w:t>
            </w:r>
          </w:p>
        </w:tc>
        <w:tc>
          <w:tcPr>
            <w:tcW w:w="768" w:type="dxa"/>
            <w:vAlign w:val="center"/>
          </w:tcPr>
          <w:p>
            <w:pPr>
              <w:jc w:val="center"/>
              <w:rPr>
                <w:rFonts w:hint="default"/>
                <w:vertAlign w:val="baseline"/>
                <w:lang w:val="en-US" w:eastAsia="zh-CN"/>
              </w:rPr>
            </w:pPr>
            <w:r>
              <w:rPr>
                <w:rFonts w:hint="eastAsia"/>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39" w:type="dxa"/>
            <w:vMerge w:val="continue"/>
            <w:vAlign w:val="center"/>
          </w:tcPr>
          <w:p>
            <w:pPr>
              <w:jc w:val="center"/>
              <w:rPr>
                <w:rFonts w:hint="eastAsia"/>
                <w:vertAlign w:val="baseline"/>
                <w:lang w:val="en-US" w:eastAsia="zh-CN"/>
              </w:rPr>
            </w:pPr>
          </w:p>
        </w:tc>
        <w:tc>
          <w:tcPr>
            <w:tcW w:w="492"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方凳</w:t>
            </w:r>
          </w:p>
        </w:tc>
        <w:tc>
          <w:tcPr>
            <w:tcW w:w="976"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长宽高约310mm*310mm*480mm</w:t>
            </w:r>
          </w:p>
          <w:p>
            <w:pPr>
              <w:jc w:val="center"/>
              <w:rPr>
                <w:rFonts w:hint="eastAsia" w:ascii="Times New Roman" w:hAnsi="Times New Roman" w:eastAsia="仿宋_GB2312" w:cs="Times New Roman"/>
                <w:b/>
                <w:bCs/>
                <w:sz w:val="21"/>
                <w:szCs w:val="21"/>
                <w:vertAlign w:val="baseline"/>
                <w:lang w:val="en-US" w:eastAsia="zh-CN"/>
              </w:rPr>
            </w:pPr>
          </w:p>
        </w:tc>
        <w:tc>
          <w:tcPr>
            <w:tcW w:w="4662" w:type="dxa"/>
            <w:vAlign w:val="center"/>
          </w:tcPr>
          <w:p>
            <w:pPr>
              <w:jc w:val="left"/>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一、</w:t>
            </w:r>
            <w:r>
              <w:rPr>
                <w:rFonts w:hint="default" w:ascii="Times New Roman" w:hAnsi="Times New Roman" w:eastAsia="仿宋_GB2312" w:cs="Times New Roman"/>
                <w:b/>
                <w:bCs/>
                <w:sz w:val="21"/>
                <w:szCs w:val="21"/>
                <w:vertAlign w:val="baseline"/>
                <w:lang w:val="en-US" w:eastAsia="zh-CN"/>
              </w:rPr>
              <w:t>座面软垫结构 (一体化设计)：</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表面材质： 仿皮革 (PU/PVC人造革)。</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要求：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纹理清晰，质感接近真皮，色泽均匀一致（同一批次内无色差）。</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耐磨性： 符合或优于国家标准（如GB/T 8949），耐磨转数 ≥ 20,000转 (TABER测试, CS10轮, 1000g负载)。</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耐刮性：</w:t>
            </w:r>
            <w:r>
              <w:rPr>
                <w:rFonts w:hint="default" w:ascii="Times New Roman" w:hAnsi="Times New Roman" w:eastAsia="仿宋_GB2312" w:cs="Times New Roman"/>
                <w:sz w:val="21"/>
                <w:szCs w:val="21"/>
                <w:vertAlign w:val="baseline"/>
                <w:lang w:val="en-US" w:eastAsia="zh-CN"/>
              </w:rPr>
              <w:t> 良好，不易出现明显划痕。</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耐水解性： 良好，不易因湿气或清洁剂而水解、变粘、开裂。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易清洁性：</w:t>
            </w:r>
            <w:r>
              <w:rPr>
                <w:rFonts w:hint="default" w:ascii="Times New Roman" w:hAnsi="Times New Roman" w:eastAsia="仿宋_GB2312" w:cs="Times New Roman"/>
                <w:sz w:val="21"/>
                <w:szCs w:val="21"/>
                <w:vertAlign w:val="baseline"/>
                <w:lang w:val="en-US" w:eastAsia="zh-CN"/>
              </w:rPr>
              <w:t> 表面光滑，污渍不易渗透，可用中性清洁剂擦拭。</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阻燃性 ：</w:t>
            </w:r>
            <w:r>
              <w:rPr>
                <w:rFonts w:hint="default" w:ascii="Times New Roman" w:hAnsi="Times New Roman" w:eastAsia="仿宋_GB2312" w:cs="Times New Roman"/>
                <w:sz w:val="21"/>
                <w:szCs w:val="21"/>
                <w:vertAlign w:val="baseline"/>
                <w:lang w:val="en-US" w:eastAsia="zh-CN"/>
              </w:rPr>
              <w:t> 需符合公共场所相关消防规范（如GB 8624 B1级或更高）。</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环保性：</w:t>
            </w:r>
            <w:r>
              <w:rPr>
                <w:rFonts w:hint="default" w:ascii="Times New Roman" w:hAnsi="Times New Roman" w:eastAsia="仿宋_GB2312" w:cs="Times New Roman"/>
                <w:sz w:val="21"/>
                <w:szCs w:val="21"/>
                <w:vertAlign w:val="baseline"/>
                <w:lang w:val="en-US" w:eastAsia="zh-CN"/>
              </w:rPr>
              <w:t> 符合相关环保标准（如GB/T 18885），无刺激性气味，有害物质限量达标。</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填充层：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材质：</w:t>
            </w:r>
            <w:r>
              <w:rPr>
                <w:rFonts w:hint="default" w:ascii="Times New Roman" w:hAnsi="Times New Roman" w:eastAsia="仿宋_GB2312" w:cs="Times New Roman"/>
                <w:sz w:val="21"/>
                <w:szCs w:val="21"/>
                <w:vertAlign w:val="baseline"/>
                <w:lang w:val="en-US" w:eastAsia="zh-CN"/>
              </w:rPr>
              <w:t> 高密度、高回弹聚氨酯泡沫 (HR Foam)，或优质冷发泡海绵。 禁止使用再生棉或易塌陷劣质海绵。</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密度要求：</w:t>
            </w:r>
            <w:r>
              <w:rPr>
                <w:rFonts w:hint="default" w:ascii="Times New Roman" w:hAnsi="Times New Roman" w:eastAsia="仿宋_GB2312" w:cs="Times New Roman"/>
                <w:sz w:val="21"/>
                <w:szCs w:val="21"/>
                <w:vertAlign w:val="baseline"/>
                <w:lang w:val="en-US" w:eastAsia="zh-CN"/>
              </w:rPr>
              <w:t> ≥ 35kg/m³ 。</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厚度要求：</w:t>
            </w:r>
            <w:r>
              <w:rPr>
                <w:rFonts w:hint="default" w:ascii="Times New Roman" w:hAnsi="Times New Roman" w:eastAsia="仿宋_GB2312" w:cs="Times New Roman"/>
                <w:sz w:val="21"/>
                <w:szCs w:val="21"/>
                <w:vertAlign w:val="baseline"/>
                <w:lang w:val="en-US" w:eastAsia="zh-CN"/>
              </w:rPr>
              <w:t> ≥ 50mm</w:t>
            </w:r>
            <w:r>
              <w:rPr>
                <w:rFonts w:hint="eastAsia" w:ascii="Times New Roman" w:hAnsi="Times New Roman" w:eastAsia="仿宋_GB2312" w:cs="Times New Roman"/>
                <w:sz w:val="21"/>
                <w:szCs w:val="21"/>
                <w:vertAlign w:val="baseline"/>
                <w:lang w:val="en-US" w:eastAsia="zh-CN"/>
              </w:rPr>
              <w:t>。</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回弹性要求：</w:t>
            </w:r>
            <w:r>
              <w:rPr>
                <w:rFonts w:hint="default" w:ascii="Times New Roman" w:hAnsi="Times New Roman" w:eastAsia="仿宋_GB2312" w:cs="Times New Roman"/>
                <w:sz w:val="21"/>
                <w:szCs w:val="21"/>
                <w:vertAlign w:val="baseline"/>
                <w:lang w:val="en-US" w:eastAsia="zh-CN"/>
              </w:rPr>
              <w:t> 受压后能快速恢复原状，不易产生永久变形。</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底板/支撑层：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材质：</w:t>
            </w:r>
            <w:r>
              <w:rPr>
                <w:rFonts w:hint="default" w:ascii="Times New Roman" w:hAnsi="Times New Roman" w:eastAsia="仿宋_GB2312" w:cs="Times New Roman"/>
                <w:sz w:val="21"/>
                <w:szCs w:val="21"/>
                <w:vertAlign w:val="baseline"/>
                <w:lang w:val="en-US" w:eastAsia="zh-CN"/>
              </w:rPr>
              <w:t> 优质多层胶合板 (Plywood， 厚度 ≥ 12mm)， 或高密度纤维板 (HDF/MDF， 厚度 ≥ 15mm)， 需进行防潮处理。</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要求： 平整、坚固，提供足够支撑，防止坐垫塌陷变形。环保等级需达到国标 E1级 (≤ 0.124mg/m³) 或更高。</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包覆工艺：</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仿皮革应紧密、平整地包覆在填充层和底板上，无松弛、鼓包或褶皱。</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缝线：走线平直、均匀、紧密，线迹无跳针、断线。线色与仿皮颜色协调或对比（按设计）。缝线部位牢固，不易开线。</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边角处理：圆滑饱满，缝线加固到位。</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框架与凳腿结构：</w:t>
            </w:r>
          </w:p>
          <w:p>
            <w:pPr>
              <w:jc w:val="left"/>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二、</w:t>
            </w:r>
            <w:r>
              <w:rPr>
                <w:rFonts w:hint="default" w:ascii="Times New Roman" w:hAnsi="Times New Roman" w:eastAsia="仿宋_GB2312" w:cs="Times New Roman"/>
                <w:b/>
                <w:bCs/>
                <w:sz w:val="21"/>
                <w:szCs w:val="21"/>
                <w:vertAlign w:val="baseline"/>
                <w:lang w:val="en-US" w:eastAsia="zh-CN"/>
              </w:rPr>
              <w:t>材质：</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凳腿：</w:t>
            </w:r>
            <w:r>
              <w:rPr>
                <w:rFonts w:hint="default" w:ascii="Times New Roman" w:hAnsi="Times New Roman" w:eastAsia="仿宋_GB2312" w:cs="Times New Roman"/>
                <w:sz w:val="21"/>
                <w:szCs w:val="21"/>
                <w:vertAlign w:val="baseline"/>
                <w:lang w:val="en-US" w:eastAsia="zh-CN"/>
              </w:rPr>
              <w:t> 优质钢管（圆形、方形或异形管），壁厚 ≥ 1.2mm。</w:t>
            </w:r>
            <w:r>
              <w:rPr>
                <w:rFonts w:hint="eastAsia" w:ascii="Times New Roman" w:hAnsi="Times New Roman" w:eastAsia="仿宋_GB2312"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val="en-US" w:eastAsia="zh-CN"/>
              </w:rPr>
              <w:t>坚固硬木、高强度尼龙/PP塑料、铝合金</w:t>
            </w:r>
            <w:r>
              <w:rPr>
                <w:rFonts w:hint="eastAsia" w:ascii="Times New Roman" w:hAnsi="Times New Roman" w:eastAsia="仿宋_GB2312" w:cs="Times New Roman"/>
                <w:sz w:val="21"/>
                <w:szCs w:val="21"/>
                <w:vertAlign w:val="baseline"/>
                <w:lang w:val="en-US" w:eastAsia="zh-CN"/>
              </w:rPr>
              <w:t>等</w:t>
            </w:r>
            <w:r>
              <w:rPr>
                <w:rFonts w:hint="default" w:ascii="Times New Roman" w:hAnsi="Times New Roman" w:eastAsia="仿宋_GB2312" w:cs="Times New Roman"/>
                <w:sz w:val="21"/>
                <w:szCs w:val="21"/>
                <w:vertAlign w:val="baseline"/>
                <w:lang w:val="en-US" w:eastAsia="zh-CN"/>
              </w:rPr>
              <w:t>。</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结构要求：</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稳固性：</w:t>
            </w:r>
            <w:r>
              <w:rPr>
                <w:rFonts w:hint="default" w:ascii="Times New Roman" w:hAnsi="Times New Roman" w:eastAsia="仿宋_GB2312" w:cs="Times New Roman"/>
                <w:sz w:val="21"/>
                <w:szCs w:val="21"/>
                <w:vertAlign w:val="baseline"/>
                <w:lang w:val="en-US" w:eastAsia="zh-CN"/>
              </w:rPr>
              <w:t> 凳腿与座面底板连接，采用加强连接方式（如：预埋金属件、贯穿螺栓+防松螺母、高强度榫卯+胶合等）。使用中无晃动感。</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承重：</w:t>
            </w:r>
            <w:r>
              <w:rPr>
                <w:rFonts w:hint="default" w:ascii="Times New Roman" w:hAnsi="Times New Roman" w:eastAsia="仿宋_GB2312" w:cs="Times New Roman"/>
                <w:sz w:val="21"/>
                <w:szCs w:val="21"/>
                <w:vertAlign w:val="baseline"/>
                <w:lang w:val="en-US" w:eastAsia="zh-CN"/>
              </w:rPr>
              <w:t> 静态承重 ≥</w:t>
            </w:r>
            <w:r>
              <w:rPr>
                <w:rFonts w:hint="eastAsia" w:ascii="Times New Roman" w:hAnsi="Times New Roman" w:eastAsia="仿宋_GB2312" w:cs="Times New Roman"/>
                <w:sz w:val="21"/>
                <w:szCs w:val="21"/>
                <w:vertAlign w:val="baseline"/>
                <w:lang w:val="en-US" w:eastAsia="zh-CN"/>
              </w:rPr>
              <w:t>120</w:t>
            </w:r>
            <w:r>
              <w:rPr>
                <w:rFonts w:hint="default" w:ascii="Times New Roman" w:hAnsi="Times New Roman" w:eastAsia="仿宋_GB2312" w:cs="Times New Roman"/>
                <w:sz w:val="21"/>
                <w:szCs w:val="21"/>
                <w:vertAlign w:val="baseline"/>
                <w:lang w:val="en-US" w:eastAsia="zh-CN"/>
              </w:rPr>
              <w:t>kg (或根据需求更高) 时，结构无永久变形、开裂、异响，座面下陷度在合理范围内（移除负载后能基本恢复）。</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防滑脚垫： 配备耐磨、防滑、静音的脚垫（如TPR、尼龙、橡胶材质）。脚垫需有效保护地面，不易脱落。</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堆叠结构 (如要求)：</w:t>
            </w:r>
            <w:r>
              <w:rPr>
                <w:rFonts w:hint="default" w:ascii="Times New Roman" w:hAnsi="Times New Roman" w:eastAsia="仿宋_GB2312" w:cs="Times New Roman"/>
                <w:sz w:val="21"/>
                <w:szCs w:val="21"/>
                <w:vertAlign w:val="baseline"/>
                <w:lang w:val="en-US" w:eastAsia="zh-CN"/>
              </w:rPr>
              <w:t> 堆叠设计需科学合理，确保堆叠时定位准确、稳固，取放方便，不易卡死或倾倒。堆叠接触点应有保护措施，避免刮伤仿皮表面。</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三、 安全与环保要求</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结构安全：</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所有边角（尤其是金属框架和底板边缘）必须做圆滑倒角或圆弧处理，无任何尖锐毛刺、快口。</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连接件无外露锐角。</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可堆叠凳子需确保堆叠和取放过程安全，无夹手风险。</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稳定性：</w:t>
            </w:r>
            <w:r>
              <w:rPr>
                <w:rFonts w:hint="default" w:ascii="Times New Roman" w:hAnsi="Times New Roman" w:eastAsia="仿宋_GB2312" w:cs="Times New Roman"/>
                <w:sz w:val="21"/>
                <w:szCs w:val="21"/>
                <w:vertAlign w:val="baseline"/>
                <w:lang w:val="en-US" w:eastAsia="zh-CN"/>
              </w:rPr>
              <w:t> 通过稳定性测试（如前腿着地，后倾一定角度不翻倒），符合相关安全标准（如GB 28007 - 儿童家具通用要求中的稳定性条款，或类似成人座椅标准）。</w:t>
            </w:r>
          </w:p>
          <w:p>
            <w:pPr>
              <w:jc w:val="left"/>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环保标准：</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仿皮革材料：符合GB/T 18885《生态纺织品技术要求》或相关标准</w:t>
            </w:r>
            <w:r>
              <w:rPr>
                <w:rFonts w:hint="eastAsia" w:ascii="Times New Roman" w:hAnsi="Times New Roman" w:eastAsia="仿宋_GB2312" w:cs="Times New Roman"/>
                <w:sz w:val="21"/>
                <w:szCs w:val="21"/>
                <w:vertAlign w:val="baseline"/>
                <w:lang w:val="en-US" w:eastAsia="zh-CN"/>
              </w:rPr>
              <w:t>。</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填充海绵：</w:t>
            </w:r>
            <w:r>
              <w:rPr>
                <w:rFonts w:hint="default" w:ascii="Times New Roman" w:hAnsi="Times New Roman" w:eastAsia="仿宋_GB2312" w:cs="Times New Roman"/>
                <w:sz w:val="21"/>
                <w:szCs w:val="21"/>
                <w:vertAlign w:val="baseline"/>
                <w:lang w:val="en-US" w:eastAsia="zh-CN"/>
              </w:rPr>
              <w:t>符合GB/T 10802《通用软质聚醚型聚氨酯泡沫塑料》及环保要求</w:t>
            </w:r>
            <w:r>
              <w:rPr>
                <w:rFonts w:hint="eastAsia" w:ascii="Times New Roman" w:hAnsi="Times New Roman" w:eastAsia="仿宋_GB2312" w:cs="Times New Roman"/>
                <w:sz w:val="21"/>
                <w:szCs w:val="21"/>
                <w:vertAlign w:val="baseline"/>
                <w:lang w:val="en-US" w:eastAsia="zh-CN"/>
              </w:rPr>
              <w:t>。</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木质底板：</w:t>
            </w:r>
            <w:r>
              <w:rPr>
                <w:rFonts w:hint="default" w:ascii="Times New Roman" w:hAnsi="Times New Roman" w:eastAsia="仿宋_GB2312" w:cs="Times New Roman"/>
                <w:sz w:val="21"/>
                <w:szCs w:val="21"/>
                <w:vertAlign w:val="baseline"/>
                <w:lang w:val="en-US" w:eastAsia="zh-CN"/>
              </w:rPr>
              <w:t>甲醛释放量必须符合 GB 18580-2017 E1级 (≤ 0.124mg/m³) 或更高标准（如E0级）</w:t>
            </w:r>
            <w:r>
              <w:rPr>
                <w:rFonts w:hint="eastAsia" w:ascii="Times New Roman" w:hAnsi="Times New Roman" w:eastAsia="仿宋_GB2312" w:cs="Times New Roman"/>
                <w:sz w:val="21"/>
                <w:szCs w:val="21"/>
                <w:vertAlign w:val="baseline"/>
                <w:lang w:val="en-US" w:eastAsia="zh-CN"/>
              </w:rPr>
              <w:t>。</w:t>
            </w:r>
          </w:p>
          <w:p>
            <w:p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金属部件：</w:t>
            </w:r>
            <w:r>
              <w:rPr>
                <w:rFonts w:hint="default" w:ascii="Times New Roman" w:hAnsi="Times New Roman" w:eastAsia="仿宋_GB2312" w:cs="Times New Roman"/>
                <w:sz w:val="21"/>
                <w:szCs w:val="21"/>
                <w:vertAlign w:val="baseline"/>
                <w:lang w:val="en-US" w:eastAsia="zh-CN"/>
              </w:rPr>
              <w:t>表面涂层符合环保要求（如RoHS）。</w:t>
            </w:r>
          </w:p>
        </w:tc>
        <w:tc>
          <w:tcPr>
            <w:tcW w:w="1125" w:type="dxa"/>
            <w:vAlign w:val="center"/>
          </w:tcPr>
          <w:p>
            <w:pPr>
              <w:jc w:val="center"/>
              <w:rPr>
                <w:rFonts w:hint="eastAsia" w:ascii="Times New Roman" w:hAnsi="Times New Roman" w:eastAsia="仿宋_GB2312" w:cs="Times New Roman"/>
                <w:kern w:val="2"/>
                <w:sz w:val="21"/>
                <w:szCs w:val="21"/>
                <w:vertAlign w:val="baseline"/>
                <w:lang w:val="en-US" w:eastAsia="zh-CN" w:bidi="ar-SA"/>
              </w:rPr>
            </w:pPr>
            <w:r>
              <w:rPr>
                <w:rFonts w:hint="eastAsia" w:ascii="宋体" w:hAnsi="宋体" w:eastAsia="宋体" w:cs="宋体"/>
                <w:b/>
                <w:bCs/>
                <w:color w:val="000000"/>
                <w:kern w:val="0"/>
                <w:sz w:val="22"/>
                <w:szCs w:val="22"/>
                <w:lang w:eastAsia="zh-CN"/>
              </w:rPr>
              <w:drawing>
                <wp:inline distT="0" distB="0" distL="114300" distR="114300">
                  <wp:extent cx="586740" cy="707390"/>
                  <wp:effectExtent l="0" t="0" r="3810" b="16510"/>
                  <wp:docPr id="3" name="图片 3" descr="微信图片_2025072111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721114435"/>
                          <pic:cNvPicPr>
                            <a:picLocks noChangeAspect="1"/>
                          </pic:cNvPicPr>
                        </pic:nvPicPr>
                        <pic:blipFill>
                          <a:blip r:embed="rId5"/>
                          <a:stretch>
                            <a:fillRect/>
                          </a:stretch>
                        </pic:blipFill>
                        <pic:spPr>
                          <a:xfrm>
                            <a:off x="0" y="0"/>
                            <a:ext cx="586740" cy="707390"/>
                          </a:xfrm>
                          <a:prstGeom prst="rect">
                            <a:avLst/>
                          </a:prstGeom>
                        </pic:spPr>
                      </pic:pic>
                    </a:graphicData>
                  </a:graphic>
                </wp:inline>
              </w:drawing>
            </w:r>
          </w:p>
        </w:tc>
        <w:tc>
          <w:tcPr>
            <w:tcW w:w="435" w:type="dxa"/>
            <w:vAlign w:val="center"/>
          </w:tcPr>
          <w:p>
            <w:pPr>
              <w:jc w:val="center"/>
              <w:rPr>
                <w:rFonts w:hint="default"/>
                <w:vertAlign w:val="baseline"/>
                <w:lang w:val="en-US" w:eastAsia="zh-CN"/>
              </w:rPr>
            </w:pPr>
            <w:r>
              <w:rPr>
                <w:rFonts w:hint="eastAsia"/>
                <w:vertAlign w:val="baseline"/>
                <w:lang w:val="en-US" w:eastAsia="zh-CN"/>
              </w:rPr>
              <w:t>40个</w:t>
            </w:r>
          </w:p>
        </w:tc>
        <w:tc>
          <w:tcPr>
            <w:tcW w:w="768" w:type="dxa"/>
            <w:vAlign w:val="center"/>
          </w:tcPr>
          <w:p>
            <w:pPr>
              <w:jc w:val="center"/>
              <w:rPr>
                <w:rFonts w:hint="default"/>
                <w:vertAlign w:val="baseline"/>
                <w:lang w:val="en-US" w:eastAsia="zh-CN"/>
              </w:rPr>
            </w:pPr>
            <w:r>
              <w:rPr>
                <w:rFonts w:hint="eastAsia"/>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439"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二标</w:t>
            </w:r>
          </w:p>
        </w:tc>
        <w:tc>
          <w:tcPr>
            <w:tcW w:w="492"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饮水机</w:t>
            </w:r>
          </w:p>
        </w:tc>
        <w:tc>
          <w:tcPr>
            <w:tcW w:w="976"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参考品牌：美的、海尔、奥克斯</w:t>
            </w:r>
          </w:p>
          <w:p>
            <w:pPr>
              <w:jc w:val="center"/>
              <w:rPr>
                <w:rFonts w:hint="eastAsia" w:ascii="Times New Roman" w:hAnsi="Times New Roman" w:eastAsia="仿宋_GB2312" w:cs="Times New Roman"/>
                <w:b/>
                <w:bCs/>
                <w:sz w:val="21"/>
                <w:szCs w:val="21"/>
                <w:vertAlign w:val="baseline"/>
                <w:lang w:val="en-US" w:eastAsia="zh-CN"/>
              </w:rPr>
            </w:pPr>
          </w:p>
        </w:tc>
        <w:tc>
          <w:tcPr>
            <w:tcW w:w="4662"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材质：304不锈钢加热内胆、</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一体水路板 旋钮式水龙头</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下置式饮水机</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安装方式：落地式</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水桶位置：下置</w:t>
            </w:r>
          </w:p>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水温类型：冰温热</w:t>
            </w:r>
          </w:p>
        </w:tc>
        <w:tc>
          <w:tcPr>
            <w:tcW w:w="1125" w:type="dxa"/>
            <w:vAlign w:val="center"/>
          </w:tcPr>
          <w:p>
            <w:pPr>
              <w:jc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sz w:val="21"/>
                <w:szCs w:val="21"/>
                <w:lang w:eastAsia="zh-CN"/>
              </w:rPr>
              <w:drawing>
                <wp:inline distT="0" distB="0" distL="114300" distR="114300">
                  <wp:extent cx="614680" cy="678815"/>
                  <wp:effectExtent l="0" t="0" r="13970" b="6985"/>
                  <wp:docPr id="7" name="图片 7" descr="微信图片_2025072214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722142526"/>
                          <pic:cNvPicPr>
                            <a:picLocks noChangeAspect="1"/>
                          </pic:cNvPicPr>
                        </pic:nvPicPr>
                        <pic:blipFill>
                          <a:blip r:embed="rId6"/>
                          <a:stretch>
                            <a:fillRect/>
                          </a:stretch>
                        </pic:blipFill>
                        <pic:spPr>
                          <a:xfrm>
                            <a:off x="0" y="0"/>
                            <a:ext cx="614680" cy="678815"/>
                          </a:xfrm>
                          <a:prstGeom prst="rect">
                            <a:avLst/>
                          </a:prstGeom>
                        </pic:spPr>
                      </pic:pic>
                    </a:graphicData>
                  </a:graphic>
                </wp:inline>
              </w:drawing>
            </w:r>
          </w:p>
        </w:tc>
        <w:tc>
          <w:tcPr>
            <w:tcW w:w="435" w:type="dxa"/>
            <w:vAlign w:val="center"/>
          </w:tcPr>
          <w:p>
            <w:pPr>
              <w:jc w:val="center"/>
              <w:rPr>
                <w:rFonts w:hint="eastAsia"/>
                <w:vertAlign w:val="baseline"/>
                <w:lang w:val="en-US" w:eastAsia="zh-CN"/>
              </w:rPr>
            </w:pPr>
            <w:r>
              <w:rPr>
                <w:rFonts w:hint="eastAsia" w:ascii="Times New Roman" w:hAnsi="Times New Roman" w:eastAsia="仿宋_GB2312" w:cs="Times New Roman"/>
                <w:kern w:val="2"/>
                <w:sz w:val="21"/>
                <w:szCs w:val="21"/>
                <w:vertAlign w:val="baseline"/>
                <w:lang w:val="en-US" w:eastAsia="zh-CN" w:bidi="ar-SA"/>
              </w:rPr>
              <w:t>1台</w:t>
            </w:r>
          </w:p>
        </w:tc>
        <w:tc>
          <w:tcPr>
            <w:tcW w:w="768" w:type="dxa"/>
            <w:vAlign w:val="center"/>
          </w:tcPr>
          <w:p>
            <w:pPr>
              <w:jc w:val="cente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39" w:type="dxa"/>
            <w:vMerge w:val="restart"/>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三标</w:t>
            </w:r>
          </w:p>
        </w:tc>
        <w:tc>
          <w:tcPr>
            <w:tcW w:w="492" w:type="dxa"/>
            <w:vAlign w:val="center"/>
          </w:tcPr>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智能电视</w:t>
            </w:r>
          </w:p>
        </w:tc>
        <w:tc>
          <w:tcPr>
            <w:tcW w:w="976" w:type="dxa"/>
            <w:vAlign w:val="top"/>
          </w:tcPr>
          <w:p>
            <w:pPr>
              <w:jc w:val="center"/>
              <w:rPr>
                <w:rFonts w:hint="default" w:ascii="Times New Roman" w:hAnsi="Times New Roman" w:eastAsia="仿宋_GB2312" w:cs="Times New Roman"/>
                <w:b/>
                <w:bCs/>
                <w:sz w:val="21"/>
                <w:szCs w:val="21"/>
                <w:vertAlign w:val="baseline"/>
                <w:lang w:val="en-US" w:eastAsia="zh-CN"/>
              </w:rPr>
            </w:pPr>
            <w:r>
              <w:rPr>
                <w:rFonts w:hint="default" w:ascii="Times New Roman" w:hAnsi="Times New Roman" w:eastAsia="仿宋_GB2312" w:cs="Times New Roman"/>
                <w:b/>
                <w:bCs/>
                <w:sz w:val="21"/>
                <w:szCs w:val="21"/>
                <w:vertAlign w:val="baseline"/>
                <w:lang w:val="en-US" w:eastAsia="zh-CN"/>
              </w:rPr>
              <w:t xml:space="preserve"> </w:t>
            </w:r>
          </w:p>
          <w:p>
            <w:pPr>
              <w:jc w:val="center"/>
              <w:rPr>
                <w:rFonts w:hint="default" w:ascii="Times New Roman" w:hAnsi="Times New Roman" w:eastAsia="仿宋_GB2312" w:cs="Times New Roman"/>
                <w:b/>
                <w:bCs/>
                <w:sz w:val="21"/>
                <w:szCs w:val="21"/>
                <w:vertAlign w:val="baseline"/>
                <w:lang w:val="en-US" w:eastAsia="zh-CN"/>
              </w:rPr>
            </w:pPr>
          </w:p>
          <w:p>
            <w:pPr>
              <w:jc w:val="center"/>
              <w:rPr>
                <w:rFonts w:hint="default" w:ascii="Times New Roman" w:hAnsi="Times New Roman" w:eastAsia="仿宋_GB2312" w:cs="Times New Roman"/>
                <w:b/>
                <w:bCs/>
                <w:sz w:val="21"/>
                <w:szCs w:val="21"/>
                <w:vertAlign w:val="baseline"/>
                <w:lang w:val="en-US" w:eastAsia="zh-CN"/>
              </w:rPr>
            </w:pPr>
          </w:p>
          <w:p>
            <w:pPr>
              <w:jc w:val="center"/>
              <w:rPr>
                <w:rFonts w:hint="default" w:ascii="Times New Roman" w:hAnsi="Times New Roman" w:eastAsia="仿宋_GB2312" w:cs="Times New Roman"/>
                <w:b/>
                <w:bCs/>
                <w:sz w:val="21"/>
                <w:szCs w:val="21"/>
                <w:vertAlign w:val="baseline"/>
                <w:lang w:val="en-US" w:eastAsia="zh-CN"/>
              </w:rPr>
            </w:pPr>
          </w:p>
          <w:p>
            <w:pPr>
              <w:jc w:val="center"/>
              <w:rPr>
                <w:rFonts w:hint="eastAsia"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型号L65MB-S 尺寸：65寸</w:t>
            </w:r>
          </w:p>
          <w:p>
            <w:pPr>
              <w:jc w:val="center"/>
              <w:rPr>
                <w:rFonts w:hint="eastAsia" w:ascii="Times New Roman" w:hAnsi="Times New Roman" w:eastAsia="仿宋_GB2312" w:cs="Times New Roman"/>
                <w:b/>
                <w:bCs/>
                <w:sz w:val="21"/>
                <w:szCs w:val="21"/>
                <w:vertAlign w:val="baseline"/>
                <w:lang w:val="en-US" w:eastAsia="zh-CN"/>
              </w:rPr>
            </w:pPr>
          </w:p>
        </w:tc>
        <w:tc>
          <w:tcPr>
            <w:tcW w:w="4662"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分辨率：超高清4K</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屏幕比例：16：9</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亮度：1500-2000尼特</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响应时间：6.5ms</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内存：4GB+64GB</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处理器：四核A73</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Wifi：2.4G+5G</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音响：2*30W</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边框材质：金属边框</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端口：USB2.0*1；USB3.0*1；HDMI2.0*1；HDMI2.1*2</w:t>
            </w:r>
          </w:p>
        </w:tc>
        <w:tc>
          <w:tcPr>
            <w:tcW w:w="1125" w:type="dxa"/>
            <w:vAlign w:val="center"/>
          </w:tcPr>
          <w:p>
            <w:pPr>
              <w:jc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sz w:val="21"/>
                <w:szCs w:val="21"/>
                <w:lang w:eastAsia="zh-CN"/>
              </w:rPr>
              <w:drawing>
                <wp:inline distT="0" distB="0" distL="114300" distR="114300">
                  <wp:extent cx="690245" cy="498475"/>
                  <wp:effectExtent l="0" t="0" r="14605" b="15875"/>
                  <wp:docPr id="8" name="图片 8" descr="6e7846297806c242dce73a1a425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e7846297806c242dce73a1a4259839"/>
                          <pic:cNvPicPr>
                            <a:picLocks noChangeAspect="1"/>
                          </pic:cNvPicPr>
                        </pic:nvPicPr>
                        <pic:blipFill>
                          <a:blip r:embed="rId7"/>
                          <a:stretch>
                            <a:fillRect/>
                          </a:stretch>
                        </pic:blipFill>
                        <pic:spPr>
                          <a:xfrm>
                            <a:off x="0" y="0"/>
                            <a:ext cx="690245" cy="498475"/>
                          </a:xfrm>
                          <a:prstGeom prst="rect">
                            <a:avLst/>
                          </a:prstGeom>
                        </pic:spPr>
                      </pic:pic>
                    </a:graphicData>
                  </a:graphic>
                </wp:inline>
              </w:drawing>
            </w:r>
          </w:p>
        </w:tc>
        <w:tc>
          <w:tcPr>
            <w:tcW w:w="435" w:type="dxa"/>
            <w:vAlign w:val="center"/>
          </w:tcPr>
          <w:p>
            <w:pPr>
              <w:jc w:val="center"/>
              <w:rPr>
                <w:rFonts w:hint="eastAsia"/>
                <w:vertAlign w:val="baseline"/>
                <w:lang w:val="en-US" w:eastAsia="zh-CN"/>
              </w:rPr>
            </w:pPr>
            <w:r>
              <w:rPr>
                <w:rFonts w:hint="eastAsia" w:ascii="Times New Roman" w:hAnsi="Times New Roman" w:eastAsia="仿宋_GB2312" w:cs="Times New Roman"/>
                <w:kern w:val="2"/>
                <w:sz w:val="21"/>
                <w:szCs w:val="21"/>
                <w:vertAlign w:val="baseline"/>
                <w:lang w:val="en-US" w:eastAsia="zh-CN" w:bidi="ar-SA"/>
              </w:rPr>
              <w:t>1台</w:t>
            </w:r>
          </w:p>
        </w:tc>
        <w:tc>
          <w:tcPr>
            <w:tcW w:w="768" w:type="dxa"/>
            <w:vAlign w:val="center"/>
          </w:tcPr>
          <w:p>
            <w:pPr>
              <w:jc w:val="center"/>
              <w:rPr>
                <w:rFonts w:hint="default"/>
                <w:vertAlign w:val="baseline"/>
                <w:lang w:val="en-US" w:eastAsia="zh-CN"/>
              </w:rPr>
            </w:pPr>
            <w:r>
              <w:rPr>
                <w:rFonts w:hint="eastAsia"/>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39" w:type="dxa"/>
            <w:vMerge w:val="continue"/>
            <w:vAlign w:val="center"/>
          </w:tcPr>
          <w:p>
            <w:pPr>
              <w:jc w:val="center"/>
              <w:rPr>
                <w:rFonts w:hint="eastAsia" w:ascii="Times New Roman" w:hAnsi="Times New Roman" w:eastAsia="仿宋_GB2312" w:cs="Times New Roman"/>
                <w:b/>
                <w:bCs/>
                <w:sz w:val="21"/>
                <w:szCs w:val="21"/>
                <w:vertAlign w:val="baseline"/>
                <w:lang w:val="en-US" w:eastAsia="zh-CN"/>
              </w:rPr>
            </w:pPr>
          </w:p>
        </w:tc>
        <w:tc>
          <w:tcPr>
            <w:tcW w:w="492" w:type="dxa"/>
            <w:vAlign w:val="center"/>
          </w:tcPr>
          <w:p>
            <w:pPr>
              <w:jc w:val="center"/>
              <w:rPr>
                <w:rFonts w:hint="default" w:ascii="Times New Roman" w:hAnsi="Times New Roman" w:eastAsia="仿宋_GB2312" w:cs="Times New Roman"/>
                <w:b/>
                <w:bCs/>
                <w:sz w:val="21"/>
                <w:szCs w:val="21"/>
                <w:vertAlign w:val="baseline"/>
                <w:lang w:val="en-US" w:eastAsia="zh-CN"/>
              </w:rPr>
            </w:pPr>
            <w:r>
              <w:rPr>
                <w:rFonts w:hint="eastAsia" w:ascii="Times New Roman" w:hAnsi="Times New Roman" w:eastAsia="仿宋_GB2312" w:cs="Times New Roman"/>
                <w:b/>
                <w:bCs/>
                <w:sz w:val="21"/>
                <w:szCs w:val="21"/>
                <w:vertAlign w:val="baseline"/>
                <w:lang w:val="en-US" w:eastAsia="zh-CN"/>
              </w:rPr>
              <w:t>移动支架</w:t>
            </w:r>
          </w:p>
        </w:tc>
        <w:tc>
          <w:tcPr>
            <w:tcW w:w="976" w:type="dxa"/>
            <w:vAlign w:val="center"/>
          </w:tcPr>
          <w:p>
            <w:pPr>
              <w:jc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b/>
                <w:bCs/>
                <w:sz w:val="21"/>
                <w:szCs w:val="21"/>
                <w:vertAlign w:val="baseline"/>
                <w:lang w:val="en-US" w:eastAsia="zh-CN"/>
              </w:rPr>
              <w:t>与电视配套</w:t>
            </w:r>
          </w:p>
        </w:tc>
        <w:tc>
          <w:tcPr>
            <w:tcW w:w="4662" w:type="dxa"/>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实用尺寸：30-75英寸电视</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产品承重：50kg</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产品材质：优质冷轧钢</w:t>
            </w:r>
          </w:p>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调节高度：1080-1400mm</w:t>
            </w:r>
          </w:p>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适用孔距：100*100-600*400mm</w:t>
            </w:r>
          </w:p>
        </w:tc>
        <w:tc>
          <w:tcPr>
            <w:tcW w:w="1125" w:type="dxa"/>
            <w:vAlign w:val="center"/>
          </w:tcPr>
          <w:p>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drawing>
                <wp:inline distT="0" distB="0" distL="114300" distR="114300">
                  <wp:extent cx="650240" cy="586740"/>
                  <wp:effectExtent l="0" t="0" r="16510" b="3810"/>
                  <wp:docPr id="2" name="图片 2" descr="微信图片_2025072411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24114701"/>
                          <pic:cNvPicPr>
                            <a:picLocks noChangeAspect="1"/>
                          </pic:cNvPicPr>
                        </pic:nvPicPr>
                        <pic:blipFill>
                          <a:blip r:embed="rId8"/>
                          <a:stretch>
                            <a:fillRect/>
                          </a:stretch>
                        </pic:blipFill>
                        <pic:spPr>
                          <a:xfrm>
                            <a:off x="0" y="0"/>
                            <a:ext cx="650240" cy="586740"/>
                          </a:xfrm>
                          <a:prstGeom prst="rect">
                            <a:avLst/>
                          </a:prstGeom>
                        </pic:spPr>
                      </pic:pic>
                    </a:graphicData>
                  </a:graphic>
                </wp:inline>
              </w:drawing>
            </w:r>
          </w:p>
        </w:tc>
        <w:tc>
          <w:tcPr>
            <w:tcW w:w="435" w:type="dxa"/>
            <w:vAlign w:val="center"/>
          </w:tcPr>
          <w:p>
            <w:pPr>
              <w:jc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1个</w:t>
            </w:r>
          </w:p>
        </w:tc>
        <w:tc>
          <w:tcPr>
            <w:tcW w:w="768" w:type="dxa"/>
            <w:vAlign w:val="center"/>
          </w:tcPr>
          <w:p>
            <w:pPr>
              <w:jc w:val="center"/>
              <w:rPr>
                <w:rFonts w:hint="default"/>
                <w:vertAlign w:val="baseline"/>
                <w:lang w:val="en-US" w:eastAsia="zh-CN"/>
              </w:rPr>
            </w:pPr>
            <w:r>
              <w:rPr>
                <w:rFonts w:hint="eastAsia"/>
                <w:vertAlign w:val="baseline"/>
                <w:lang w:val="en-US" w:eastAsia="zh-CN"/>
              </w:rPr>
              <w:t>300</w:t>
            </w:r>
          </w:p>
        </w:tc>
      </w:tr>
    </w:tbl>
    <w:p>
      <w:pPr>
        <w:pStyle w:val="2"/>
      </w:pPr>
    </w:p>
    <w:p>
      <w:pPr>
        <w:jc w:val="center"/>
        <w:rPr>
          <w:rFonts w:hint="eastAsia" w:asciiTheme="minorEastAsia" w:hAnsiTheme="minorEastAsia" w:eastAsiaTheme="minorEastAsia" w:cstheme="minorEastAsia"/>
          <w:b/>
          <w:color w:val="000000"/>
          <w:sz w:val="24"/>
          <w:szCs w:val="24"/>
          <w:lang w:val="zh-CN" w:eastAsia="zh-CN"/>
        </w:rPr>
      </w:pPr>
      <w:r>
        <w:rPr>
          <w:rFonts w:hint="eastAsia" w:asciiTheme="minorEastAsia" w:hAnsiTheme="minorEastAsia" w:eastAsiaTheme="minorEastAsia" w:cstheme="minorEastAsia"/>
          <w:b/>
          <w:color w:val="000000"/>
          <w:sz w:val="24"/>
          <w:szCs w:val="24"/>
          <w:lang w:val="zh-CN" w:eastAsia="zh-CN"/>
        </w:rPr>
        <w:t>二、服务要求</w:t>
      </w:r>
    </w:p>
    <w:p>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1、凡供应的产品必须符合国家（行业）标准。</w:t>
      </w:r>
    </w:p>
    <w:p>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2、售出的商品，属质量问题的，按国家商品“三包”规定执行。</w:t>
      </w:r>
    </w:p>
    <w:p>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3、为了更好的服务各单位，根据要求，需及时将物品送到指定地点。</w:t>
      </w:r>
    </w:p>
    <w:p>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4、定制家具供应商需上门测量尺寸，5</w:t>
      </w:r>
      <w:r>
        <w:rPr>
          <w:rFonts w:hint="eastAsia" w:ascii="宋体" w:hAnsi="宋体" w:cs="宋体"/>
          <w:color w:val="000000"/>
          <w:kern w:val="0"/>
          <w:sz w:val="24"/>
          <w:szCs w:val="24"/>
          <w:lang w:val="en-US" w:eastAsia="zh-CN"/>
        </w:rPr>
        <w:t>个日历</w:t>
      </w:r>
      <w:r>
        <w:rPr>
          <w:rFonts w:hint="eastAsia" w:ascii="宋体" w:hAnsi="宋体" w:cs="宋体"/>
          <w:color w:val="000000"/>
          <w:kern w:val="0"/>
          <w:sz w:val="24"/>
          <w:szCs w:val="24"/>
        </w:rPr>
        <w:t>日内交货。</w:t>
      </w:r>
    </w:p>
    <w:p>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5、如在使用过程中出现产品本身质量问题，承诺无条件退换。如因产品质量原因造成的损害，由供应商承担一切后果。</w:t>
      </w:r>
    </w:p>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p>
      <w:pPr>
        <w:numPr>
          <w:ilvl w:val="0"/>
          <w:numId w:val="0"/>
        </w:numPr>
        <w:jc w:val="center"/>
        <w:rPr>
          <w:rFonts w:hint="eastAsia" w:ascii="宋体" w:hAnsi="宋体" w:cs="宋体"/>
          <w:b/>
          <w:color w:val="FF0000"/>
          <w:sz w:val="28"/>
          <w:szCs w:val="24"/>
          <w:highlight w:val="yellow"/>
          <w:lang w:val="en-US" w:eastAsia="zh-CN"/>
        </w:rPr>
      </w:pPr>
      <w:r>
        <w:rPr>
          <w:rFonts w:hint="eastAsia" w:ascii="宋体" w:hAnsi="宋体" w:cs="宋体"/>
          <w:b/>
          <w:color w:val="FF0000"/>
          <w:sz w:val="28"/>
          <w:szCs w:val="24"/>
          <w:highlight w:val="yellow"/>
        </w:rPr>
        <w:t>（本项目商务要求为不允许负偏离的实质性要求和条件）</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所有货物（包括零部件）须为全新的、未使用过的原装正品。提交货物的技术参数和配置应与询价文件的要求及其响应文件的技术响应表（如果被评委会接受的话）相一致。若询价文件及响应文件中无相应说明，则以国家有关部门最新颁布的相应标准及规范为准。</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2、所有货物必须符合国家相关强制性要求。</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3、技术支持</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3.1成交供应商应向采购人提供全方位及时而有效的技术支持和服务。</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3.2成交供应商负责供货、运输并安装调试完毕。</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3.3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4、产品质保期、服务期及售后服务：                                        </w:t>
      </w:r>
    </w:p>
    <w:p>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4.1</w:t>
      </w:r>
      <w:r>
        <w:rPr>
          <w:rFonts w:hint="eastAsia" w:ascii="宋体" w:hAnsi="宋体" w:eastAsia="宋体" w:cs="Times New Roman"/>
          <w:sz w:val="24"/>
          <w:highlight w:val="yellow"/>
          <w:lang w:val="en-US" w:eastAsia="zh-CN"/>
        </w:rPr>
        <w:t>产品质保期：成交供应商须提供产品至少</w:t>
      </w:r>
      <w:r>
        <w:rPr>
          <w:rFonts w:hint="eastAsia" w:ascii="宋体" w:hAnsi="宋体" w:cs="Times New Roman"/>
          <w:sz w:val="24"/>
          <w:highlight w:val="yellow"/>
          <w:lang w:val="en-US" w:eastAsia="zh-CN"/>
        </w:rPr>
        <w:t>1年</w:t>
      </w:r>
      <w:r>
        <w:rPr>
          <w:rFonts w:hint="eastAsia" w:ascii="宋体" w:hAnsi="宋体" w:eastAsia="宋体" w:cs="Times New Roman"/>
          <w:sz w:val="24"/>
          <w:highlight w:val="yellow"/>
          <w:lang w:val="en-US" w:eastAsia="zh-CN"/>
        </w:rPr>
        <w:t>的质保期（自验收合格之日起计算），质保期内出现质量问题</w:t>
      </w:r>
      <w:r>
        <w:rPr>
          <w:rFonts w:hint="eastAsia" w:ascii="宋体" w:hAnsi="宋体" w:cs="Times New Roman"/>
          <w:sz w:val="24"/>
          <w:highlight w:val="yellow"/>
          <w:lang w:val="en-US" w:eastAsia="zh-CN"/>
        </w:rPr>
        <w:t>，</w:t>
      </w:r>
      <w:r>
        <w:rPr>
          <w:rFonts w:hint="eastAsia" w:ascii="宋体" w:hAnsi="宋体" w:eastAsia="宋体" w:cs="Times New Roman"/>
          <w:sz w:val="24"/>
          <w:highlight w:val="yellow"/>
          <w:lang w:val="en-US" w:eastAsia="zh-CN"/>
        </w:rPr>
        <w:t>成交供应商负责包修、包退、包换，所有质保费用均已包含在总报价中。</w:t>
      </w:r>
      <w:bookmarkStart w:id="1" w:name="_GoBack"/>
      <w:r>
        <w:rPr>
          <w:rFonts w:hint="eastAsia" w:ascii="宋体" w:hAnsi="宋体" w:eastAsia="宋体" w:cs="Times New Roman"/>
          <w:sz w:val="24"/>
          <w:highlight w:val="none"/>
          <w:lang w:val="en-US" w:eastAsia="zh-CN"/>
        </w:rPr>
        <w:t xml:space="preserve">                                     </w:t>
      </w:r>
      <w:bookmarkEnd w:id="1"/>
      <w:r>
        <w:rPr>
          <w:rFonts w:hint="eastAsia" w:ascii="宋体" w:hAnsi="宋体" w:eastAsia="宋体" w:cs="Times New Roman"/>
          <w:sz w:val="24"/>
          <w:lang w:val="en-US" w:eastAsia="zh-CN"/>
        </w:rPr>
        <w:t xml:space="preserve">                   </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4.2售后服务响应时间：如货物出现质量问题，</w:t>
      </w:r>
      <w:bookmarkStart w:id="0" w:name="OLE_LINK2"/>
      <w:r>
        <w:rPr>
          <w:rFonts w:hint="eastAsia" w:ascii="宋体" w:hAnsi="宋体" w:eastAsia="宋体" w:cs="Times New Roman"/>
          <w:sz w:val="24"/>
          <w:lang w:val="en-US" w:eastAsia="zh-CN"/>
        </w:rPr>
        <w:t>成交供应商</w:t>
      </w:r>
      <w:bookmarkEnd w:id="0"/>
      <w:r>
        <w:rPr>
          <w:rFonts w:hint="eastAsia" w:ascii="宋体" w:hAnsi="宋体" w:eastAsia="宋体" w:cs="Times New Roman"/>
          <w:sz w:val="24"/>
          <w:lang w:val="en-US" w:eastAsia="zh-CN"/>
        </w:rPr>
        <w:t>须1小时内响应，电话响应无法解决，成交供应商必须在接报修电话24小时内到达现场并在48小时内解决问题。如不能解决的，成交供应商需提供备品备件供采购人使用。质保期内如货物出现质量问题，成交供应商负责修复，对于无法修复的情况，成交供应商负责免费更换。</w:t>
      </w:r>
    </w:p>
    <w:p>
      <w:pPr>
        <w:tabs>
          <w:tab w:val="left" w:pos="7020"/>
        </w:tabs>
        <w:spacing w:line="440" w:lineRule="exact"/>
        <w:ind w:firstLine="480" w:firstLineChars="200"/>
        <w:rPr>
          <w:rFonts w:hint="eastAsia" w:ascii="宋体" w:hAnsi="宋体" w:eastAsia="宋体" w:cs="Times New Roman"/>
          <w:sz w:val="24"/>
          <w:highlight w:val="yellow"/>
          <w:lang w:val="en-US" w:eastAsia="zh-CN"/>
        </w:rPr>
      </w:pPr>
      <w:r>
        <w:rPr>
          <w:rFonts w:hint="eastAsia" w:ascii="宋体" w:hAnsi="宋体" w:eastAsia="宋体" w:cs="Times New Roman"/>
          <w:sz w:val="24"/>
          <w:lang w:val="en-US" w:eastAsia="zh-CN"/>
        </w:rPr>
        <w:t>5、</w:t>
      </w:r>
      <w:r>
        <w:rPr>
          <w:rFonts w:hint="eastAsia" w:ascii="宋体" w:hAnsi="宋体" w:eastAsia="宋体" w:cs="Times New Roman"/>
          <w:sz w:val="24"/>
          <w:highlight w:val="yellow"/>
          <w:lang w:val="en-US" w:eastAsia="zh-CN"/>
        </w:rPr>
        <w:t>供货期：</w:t>
      </w:r>
      <w:r>
        <w:rPr>
          <w:rFonts w:hint="eastAsia" w:ascii="宋体" w:hAnsi="宋体" w:cs="Times New Roman"/>
          <w:sz w:val="24"/>
          <w:highlight w:val="yellow"/>
          <w:lang w:val="en-US" w:eastAsia="zh-CN"/>
        </w:rPr>
        <w:t>接采购人通知后5</w:t>
      </w:r>
      <w:r>
        <w:rPr>
          <w:rFonts w:hint="eastAsia" w:ascii="宋体" w:hAnsi="宋体" w:eastAsia="宋体" w:cs="Times New Roman"/>
          <w:sz w:val="24"/>
          <w:highlight w:val="yellow"/>
          <w:lang w:val="en-US" w:eastAsia="zh-CN"/>
        </w:rPr>
        <w:t>个日历日内交货。</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6、供货地点：马鞍山市中医院（采购人指定地点）。</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7、验收：采购人和相关部门按照询价文件和响应文件承诺进行验收。询价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                                </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8、付款方式：验收合格之后，三个月内支付100%合同款。</w:t>
      </w:r>
    </w:p>
    <w:p>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9、本项目总投标价包含履行本项目的全部费用及所有价内价外税金及合理利润等，不再产生任何二次费用。</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56D4F"/>
    <w:rsid w:val="04575AAE"/>
    <w:rsid w:val="15235500"/>
    <w:rsid w:val="15E24476"/>
    <w:rsid w:val="2BA60AE6"/>
    <w:rsid w:val="39C57C56"/>
    <w:rsid w:val="3EA245C9"/>
    <w:rsid w:val="4E656D4F"/>
    <w:rsid w:val="567B6271"/>
    <w:rsid w:val="57AE5369"/>
    <w:rsid w:val="63E4221D"/>
    <w:rsid w:val="79F76829"/>
    <w:rsid w:val="7A37744E"/>
    <w:rsid w:val="7F8C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440" w:lineRule="exact"/>
    </w:pPr>
    <w:rPr>
      <w:rFonts w:asciiTheme="minorEastAsia" w:hAnsiTheme="minorEastAsia" w:eastAsiaTheme="minorEastAsia"/>
      <w:b/>
      <w:sz w:val="24"/>
      <w:szCs w:val="24"/>
    </w:rPr>
  </w:style>
  <w:style w:type="paragraph" w:styleId="3">
    <w:name w:val="Body Text"/>
    <w:basedOn w:val="1"/>
    <w:qFormat/>
    <w:uiPriority w:val="0"/>
    <w:pPr>
      <w:jc w:val="left"/>
    </w:pPr>
    <w:rPr>
      <w:rFonts w:ascii="Arial" w:hAnsi="Arial" w:eastAsia="黑体"/>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2025-07-24T02:51:00Z</dcterms:created>
  <dc:creator>能能</dc:creator>
  <cp:lastModifiedBy>能能</cp:lastModifiedBy>
  <dcterms:modified xsi:type="dcterms:W3CDTF">2025-07-24T10:18:51Z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41DAB9F3F3BB4A6D88C25BCE3A8DA37A</vt:lpwstr>
  </property>
</Properties>
</file>