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9D54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44"/>
          <w:szCs w:val="44"/>
          <w:highlight w:val="none"/>
          <w:lang w:val="en-US" w:eastAsia="zh-CN" w:bidi="ar-SA"/>
        </w:rPr>
      </w:pPr>
      <w:r>
        <w:rPr>
          <w:rFonts w:hint="eastAsia" w:ascii="宋体" w:hAnsi="宋体" w:eastAsia="宋体" w:cs="宋体"/>
          <w:color w:val="000000" w:themeColor="text1"/>
          <w:spacing w:val="-20"/>
          <w:kern w:val="2"/>
          <w:sz w:val="44"/>
          <w:szCs w:val="44"/>
          <w:highlight w:val="none"/>
          <w:lang w:val="en-US" w:eastAsia="zh-CN" w:bidi="ar-SA"/>
        </w:rPr>
        <w:t>马鞍山市</w:t>
      </w:r>
      <w:r>
        <w:rPr>
          <w:rFonts w:hint="eastAsia" w:ascii="宋体" w:hAnsi="宋体" w:cs="宋体"/>
          <w:color w:val="000000" w:themeColor="text1"/>
          <w:spacing w:val="-20"/>
          <w:kern w:val="2"/>
          <w:sz w:val="44"/>
          <w:szCs w:val="44"/>
          <w:highlight w:val="none"/>
          <w:lang w:val="en-US" w:eastAsia="zh-CN" w:bidi="ar-SA"/>
        </w:rPr>
        <w:t>中医院电脑、打印机及零星网络维修维护项目</w:t>
      </w:r>
      <w:r>
        <w:rPr>
          <w:rFonts w:hint="eastAsia" w:ascii="宋体" w:hAnsi="宋体" w:eastAsia="宋体" w:cs="宋体"/>
          <w:color w:val="000000" w:themeColor="text1"/>
          <w:spacing w:val="-20"/>
          <w:kern w:val="2"/>
          <w:sz w:val="44"/>
          <w:szCs w:val="44"/>
          <w:highlight w:val="none"/>
          <w:lang w:val="en-US" w:eastAsia="zh-CN" w:bidi="ar-SA"/>
        </w:rPr>
        <w:t>内容及相关要求</w:t>
      </w:r>
    </w:p>
    <w:p w14:paraId="14C7A702">
      <w:pPr>
        <w:numPr>
          <w:ilvl w:val="0"/>
          <w:numId w:val="1"/>
        </w:numPr>
        <w:tabs>
          <w:tab w:val="left" w:pos="1050"/>
        </w:tabs>
        <w:spacing w:line="460" w:lineRule="exact"/>
        <w:ind w:left="210" w:leftChars="0" w:firstLineChars="0"/>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14:paraId="35FAEC5E">
      <w:pPr>
        <w:spacing w:line="34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3.96 </w:t>
      </w:r>
      <w:r>
        <w:rPr>
          <w:rFonts w:hint="eastAsia" w:asciiTheme="minorEastAsia" w:hAnsiTheme="minorEastAsia" w:eastAsiaTheme="minorEastAsia" w:cstheme="minorEastAsia"/>
          <w:b w:val="0"/>
          <w:bCs w:val="0"/>
          <w:sz w:val="24"/>
          <w:szCs w:val="24"/>
          <w:lang w:val="en-US" w:eastAsia="zh-CN"/>
        </w:rPr>
        <w:t>万元；最高限价（人民币）：</w:t>
      </w:r>
      <w:r>
        <w:rPr>
          <w:rFonts w:hint="eastAsia" w:asciiTheme="minorEastAsia" w:hAnsiTheme="minorEastAsia" w:eastAsiaTheme="minorEastAsia" w:cstheme="minorEastAsia"/>
          <w:b w:val="0"/>
          <w:bCs w:val="0"/>
          <w:sz w:val="24"/>
          <w:szCs w:val="24"/>
          <w:u w:val="single"/>
          <w:lang w:val="en-US" w:eastAsia="zh-CN"/>
        </w:rPr>
        <w:t xml:space="preserve"> 3.96  </w:t>
      </w:r>
      <w:r>
        <w:rPr>
          <w:rFonts w:hint="eastAsia" w:asciiTheme="minorEastAsia" w:hAnsiTheme="minorEastAsia" w:eastAsiaTheme="minorEastAsia" w:cstheme="minorEastAsia"/>
          <w:b w:val="0"/>
          <w:bCs w:val="0"/>
          <w:sz w:val="24"/>
          <w:szCs w:val="24"/>
          <w:lang w:val="en-US" w:eastAsia="zh-CN"/>
        </w:rPr>
        <w:t>万元。</w:t>
      </w:r>
    </w:p>
    <w:p w14:paraId="124D0D30">
      <w:pPr>
        <w:numPr>
          <w:ilvl w:val="0"/>
          <w:numId w:val="1"/>
        </w:numPr>
        <w:spacing w:line="480" w:lineRule="exact"/>
        <w:ind w:left="21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14:paraId="312F6536">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6"/>
        <w:tblpPr w:leftFromText="180" w:rightFromText="180" w:vertAnchor="text" w:horzAnchor="page" w:tblpX="2329" w:tblpY="243"/>
        <w:tblOverlap w:val="never"/>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1"/>
        <w:gridCol w:w="818"/>
        <w:gridCol w:w="990"/>
      </w:tblGrid>
      <w:tr w14:paraId="22E4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351" w:type="dxa"/>
            <w:noWrap/>
            <w:vAlign w:val="center"/>
          </w:tcPr>
          <w:p w14:paraId="750F6DC0">
            <w:pPr>
              <w:spacing w:line="340" w:lineRule="exact"/>
              <w:ind w:firstLine="480" w:firstLineChars="20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服务名称（标的名称）</w:t>
            </w:r>
          </w:p>
        </w:tc>
        <w:tc>
          <w:tcPr>
            <w:tcW w:w="818" w:type="dxa"/>
            <w:noWrap/>
            <w:vAlign w:val="center"/>
          </w:tcPr>
          <w:p w14:paraId="4CCC650A">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990" w:type="dxa"/>
            <w:noWrap/>
            <w:vAlign w:val="center"/>
          </w:tcPr>
          <w:p w14:paraId="77E5C572">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r>
      <w:tr w14:paraId="7F50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351" w:type="dxa"/>
            <w:shd w:val="clear" w:color="auto" w:fill="FFFFFF"/>
            <w:noWrap/>
            <w:vAlign w:val="center"/>
          </w:tcPr>
          <w:p w14:paraId="41B0D9A8">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马鞍山市中医院电脑、打印机及零星网络维修维护</w:t>
            </w:r>
          </w:p>
        </w:tc>
        <w:tc>
          <w:tcPr>
            <w:tcW w:w="818" w:type="dxa"/>
            <w:noWrap/>
            <w:vAlign w:val="center"/>
          </w:tcPr>
          <w:p w14:paraId="4CE167E5">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990" w:type="dxa"/>
            <w:noWrap/>
            <w:vAlign w:val="center"/>
          </w:tcPr>
          <w:p w14:paraId="2BEADF68">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项</w:t>
            </w:r>
          </w:p>
        </w:tc>
      </w:tr>
    </w:tbl>
    <w:p w14:paraId="7A213A9B">
      <w:pPr>
        <w:jc w:val="both"/>
        <w:rPr>
          <w:rFonts w:hint="eastAsia" w:asciiTheme="minorEastAsia" w:hAnsiTheme="minorEastAsia" w:eastAsiaTheme="minorEastAsia" w:cstheme="minorEastAsia"/>
          <w:b/>
          <w:color w:val="000000"/>
          <w:sz w:val="24"/>
          <w:szCs w:val="24"/>
          <w:lang w:val="en-US" w:eastAsia="zh-CN"/>
        </w:rPr>
      </w:pPr>
    </w:p>
    <w:p w14:paraId="329A9A26">
      <w:pPr>
        <w:jc w:val="center"/>
        <w:rPr>
          <w:rFonts w:hint="eastAsia" w:asciiTheme="minorEastAsia" w:hAnsiTheme="minorEastAsia" w:eastAsiaTheme="minorEastAsia" w:cstheme="minorEastAsia"/>
          <w:b/>
          <w:color w:val="000000"/>
          <w:sz w:val="24"/>
          <w:szCs w:val="24"/>
          <w:lang w:val="en-US" w:eastAsia="zh-CN"/>
        </w:rPr>
      </w:pPr>
    </w:p>
    <w:p w14:paraId="7BCAF646">
      <w:pPr>
        <w:jc w:val="both"/>
        <w:rPr>
          <w:rFonts w:hint="eastAsia" w:asciiTheme="minorEastAsia" w:hAnsiTheme="minorEastAsia" w:eastAsiaTheme="minorEastAsia" w:cstheme="minorEastAsia"/>
          <w:b/>
          <w:color w:val="000000"/>
          <w:sz w:val="24"/>
          <w:szCs w:val="24"/>
          <w:lang w:val="en-US" w:eastAsia="zh-CN"/>
        </w:rPr>
      </w:pPr>
    </w:p>
    <w:p w14:paraId="6C238AF4">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sz w:val="24"/>
          <w:szCs w:val="24"/>
          <w:lang w:val="en-US" w:eastAsia="zh-CN"/>
        </w:rPr>
        <w:t xml:space="preserve">      （二）服务内容</w:t>
      </w:r>
    </w:p>
    <w:p w14:paraId="7EAB6CF7">
      <w:pPr>
        <w:spacing w:line="520" w:lineRule="exact"/>
        <w:ind w:firstLine="600" w:firstLineChars="250"/>
        <w:rPr>
          <w:rFonts w:ascii="宋体" w:hAnsi="宋体"/>
          <w:color w:val="000000"/>
          <w:sz w:val="24"/>
        </w:rPr>
      </w:pPr>
      <w:r>
        <w:rPr>
          <w:rFonts w:hint="eastAsia" w:ascii="宋体" w:hAnsi="宋体"/>
          <w:sz w:val="24"/>
        </w:rPr>
        <w:t>本次马鞍山市中医院电脑、打印机及零星网络维修维护项目，主要是马鞍山市中医院的电脑、打印机、零星网络、LED屏等的维修材料费用和人工服务费用</w:t>
      </w:r>
      <w:r>
        <w:rPr>
          <w:rFonts w:hint="eastAsia" w:ascii="宋体" w:hAnsi="宋体"/>
          <w:sz w:val="24"/>
          <w:lang w:eastAsia="zh-CN"/>
        </w:rPr>
        <w:t>。</w:t>
      </w:r>
      <w:r>
        <w:rPr>
          <w:rFonts w:hint="eastAsia" w:ascii="宋体" w:hAnsi="宋体"/>
          <w:color w:val="000000"/>
          <w:sz w:val="24"/>
          <w:highlight w:val="yellow"/>
        </w:rPr>
        <w:t>使用的材料</w:t>
      </w:r>
      <w:r>
        <w:rPr>
          <w:rFonts w:hint="eastAsia" w:ascii="宋体" w:hAnsi="宋体"/>
          <w:color w:val="000000"/>
          <w:sz w:val="24"/>
          <w:highlight w:val="yellow"/>
          <w:lang w:val="en-US" w:eastAsia="zh-CN"/>
        </w:rPr>
        <w:t>和人工费包括但不限于以下</w:t>
      </w:r>
      <w:r>
        <w:rPr>
          <w:rFonts w:hint="eastAsia" w:ascii="宋体" w:hAnsi="宋体"/>
          <w:color w:val="000000"/>
          <w:sz w:val="24"/>
          <w:highlight w:val="yellow"/>
        </w:rPr>
        <w:t>采购清单</w:t>
      </w:r>
      <w:r>
        <w:rPr>
          <w:rFonts w:hint="eastAsia" w:ascii="宋体" w:hAnsi="宋体"/>
          <w:color w:val="000000"/>
          <w:sz w:val="24"/>
          <w:highlight w:val="yellow"/>
          <w:lang w:val="en-US" w:eastAsia="zh-CN"/>
        </w:rPr>
        <w:t>内容</w:t>
      </w:r>
      <w:r>
        <w:rPr>
          <w:rFonts w:hint="eastAsia" w:ascii="宋体" w:hAnsi="宋体"/>
          <w:color w:val="000000"/>
          <w:sz w:val="24"/>
          <w:highlight w:val="yellow"/>
        </w:rPr>
        <w:t>，</w:t>
      </w:r>
      <w:r>
        <w:rPr>
          <w:rFonts w:hint="eastAsia" w:ascii="宋体" w:hAnsi="宋体"/>
          <w:color w:val="000000"/>
          <w:sz w:val="24"/>
          <w:highlight w:val="yellow"/>
          <w:lang w:val="en-US" w:eastAsia="zh-CN"/>
        </w:rPr>
        <w:t>以下采购清单的内容用作投标基准价格参考，</w:t>
      </w:r>
      <w:r>
        <w:rPr>
          <w:rFonts w:hint="eastAsia" w:ascii="宋体" w:hAnsi="宋体"/>
          <w:color w:val="000000"/>
          <w:sz w:val="24"/>
          <w:highlight w:val="yellow"/>
        </w:rPr>
        <w:t>若实际使用中用到的材料在下列清单中未体现的，由采购人与中标人协商提供。</w:t>
      </w:r>
      <w:bookmarkStart w:id="33" w:name="_GoBack"/>
      <w:bookmarkEnd w:id="33"/>
    </w:p>
    <w:p w14:paraId="508A2FC7">
      <w:pPr>
        <w:pStyle w:val="37"/>
        <w:tabs>
          <w:tab w:val="left" w:pos="7020"/>
        </w:tabs>
        <w:spacing w:line="440" w:lineRule="exact"/>
        <w:ind w:firstLine="0" w:firstLineChars="0"/>
        <w:jc w:val="left"/>
        <w:rPr>
          <w:rFonts w:hint="eastAsia" w:ascii="宋体" w:hAnsi="宋体" w:eastAsia="宋体" w:cs="黑体"/>
          <w:b/>
          <w:bCs/>
          <w:color w:val="000000"/>
          <w:kern w:val="2"/>
          <w:sz w:val="32"/>
          <w:szCs w:val="24"/>
          <w:lang w:val="en-US" w:eastAsia="zh-CN" w:bidi="ar-SA"/>
        </w:rPr>
      </w:pPr>
      <w:r>
        <w:rPr>
          <w:rFonts w:hint="eastAsia" w:ascii="宋体" w:hAnsi="宋体" w:eastAsia="宋体" w:cs="黑体"/>
          <w:b/>
          <w:bCs/>
          <w:color w:val="000000"/>
          <w:kern w:val="2"/>
          <w:sz w:val="32"/>
          <w:szCs w:val="24"/>
          <w:lang w:val="en-US" w:eastAsia="zh-CN" w:bidi="ar-SA"/>
        </w:rPr>
        <w:t>1、采购清单</w:t>
      </w:r>
    </w:p>
    <w:p w14:paraId="35FCAED6">
      <w:pPr>
        <w:tabs>
          <w:tab w:val="left" w:pos="7020"/>
        </w:tabs>
        <w:spacing w:line="440" w:lineRule="exact"/>
        <w:ind w:firstLine="3880" w:firstLineChars="1617"/>
        <w:rPr>
          <w:rFonts w:hint="eastAsia" w:ascii="宋体" w:hAnsi="宋体"/>
          <w:b/>
          <w:color w:val="000000"/>
          <w:sz w:val="24"/>
        </w:rPr>
      </w:pPr>
      <w:r>
        <w:rPr>
          <w:rFonts w:hint="eastAsia" w:ascii="宋体" w:hAnsi="宋体"/>
          <w:b/>
          <w:color w:val="000000"/>
          <w:sz w:val="24"/>
        </w:rPr>
        <w:t>常用材料</w:t>
      </w:r>
    </w:p>
    <w:tbl>
      <w:tblPr>
        <w:tblStyle w:val="16"/>
        <w:tblW w:w="83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3379"/>
        <w:gridCol w:w="790"/>
        <w:gridCol w:w="850"/>
        <w:gridCol w:w="1030"/>
        <w:gridCol w:w="1320"/>
      </w:tblGrid>
      <w:tr w14:paraId="30AA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FB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DD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C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AC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F9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D5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14:paraId="3136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29"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14:paraId="20C43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打印机维修配件清单</w:t>
            </w:r>
          </w:p>
        </w:tc>
      </w:tr>
      <w:tr w14:paraId="372C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6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2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 1020/1000/2900/3018打印机定影膜</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8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4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D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7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39CB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5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08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CANON 2900打印机加热辊</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4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C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C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0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5DC7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2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C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CANON 2900打印机继电器</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8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6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9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3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2CB7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2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8B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CANON 2900打印机进纸组件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D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1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8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F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55C5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A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A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CANON 2900打印机搓纸轮</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B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7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0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1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4F5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1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11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CANON 2900打印机加热组件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E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88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B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A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C47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6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0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CANON 2900打印机接口板</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2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E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0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C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707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1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4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CANON 2900 打印机主板</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F7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7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F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2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2DD3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3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8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DS-2600II 打印头</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D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E1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2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A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C62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0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 1600kIIIH原装打印头</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7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5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D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9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A6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0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5E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 1900KIII打印机\齿轮组</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1C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F1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8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0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3E6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D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 1025打印机加热组件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6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1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04C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8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E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 1025打印机搓纸轮</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C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D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D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B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345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2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HP1025打印机进纸组件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4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3A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8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E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FED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7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4C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HP1025打印机转动齿轮组</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3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3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45F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E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8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HP1025打印机转印带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6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B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4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C6C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B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6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HP1025打印机主板</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1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C5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5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C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F56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AB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 1010/1020加热组件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F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7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C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B54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4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4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 1007/1008 搓纸轮</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C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4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1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6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00AE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6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3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斑马GK888TT条码机主板</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C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0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1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9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4A2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2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C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斑马888TT打印机传感器</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3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5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F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8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EC1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E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9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斑马888TT打印机扫描头</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6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8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5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6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2CB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6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7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斑马888TT打印机主板</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F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91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A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5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A45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6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F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 MP2014鼓组件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C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1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66B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0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5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京瓷1040打印机各类组件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F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4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6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4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54F3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4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BF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 MP2014载体</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5F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8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1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22BB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2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3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TSC条码打印机电源适配器</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D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E4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7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6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5CA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E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41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 1666打印机电源</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66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9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7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B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6FF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5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1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 19V 2.1A 小头电源适配器</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A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B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1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1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144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F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得实DL2600d打印机组件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D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1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C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1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416A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8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C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得实DL260v打印机组件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9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F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6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1901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6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2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斑马条码打印机电源适配器</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F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5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3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2E3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4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C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理光3555一体机鼓组件</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E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9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1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2779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9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04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10610</w:t>
            </w:r>
          </w:p>
        </w:tc>
      </w:tr>
      <w:tr w14:paraId="6375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网络维保清单</w:t>
            </w:r>
          </w:p>
        </w:tc>
      </w:tr>
      <w:tr w14:paraId="6990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8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6A37C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USB打印数据线（1.5米）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67EF1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1F364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3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0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EF7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B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0631B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 一分二 2口VGA分配器 电脑接电视机投影 一进两出 250HZ</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3AE6C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4A545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7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79D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7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71B0F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多电脑KVM切换器2口USB手动2进1出</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73C86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0FD82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3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1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10B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9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75CA4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VGA数据线（1.5米）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73979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49571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5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7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012D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D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3CF53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 母对母对接头</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1667E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1AF4B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D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6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034C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1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4A64D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DC电源适配器（规格按需）</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169CD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7342D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3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0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3FE4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A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3BF58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 延长线（2米）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0A2F3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5167B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B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7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74DB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7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10ADE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DVI线（2米）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40B4E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144C3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8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514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2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7DF54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USB3.0U盘（64G）</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2630E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13B85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6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6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499A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4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59FCE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HDMI线（2米）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0BDD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38D5C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1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D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BBE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7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51BA6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网络面板</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54004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7A1C8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7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E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665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C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24089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网络模块</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1AFAB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4B9DD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D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A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820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3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7AE27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超五类成品网线（3米）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6266D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02F81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E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8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7D54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4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0E5E5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LC-LC光纤跳线（1.5米）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54C4F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A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B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F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5061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B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233C8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LC-FC光纤跳线（1.5米）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2293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8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2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A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18E8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B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1BF74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LC-SC光纤跳线（1.5米）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5190E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7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1DDF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7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58FE5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六类成品网线（3米）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186D8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B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0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D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31F9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2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1D60A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86明盒</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4224B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F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D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2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333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C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67BBF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230C1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8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6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3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B52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A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39763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线槽（2米）</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6A0A3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B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A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D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5392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B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09620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室外光纤</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16D02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2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9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B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046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8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1EDEE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五口千兆钢壳交换机</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3B508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C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6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D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5E6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9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79" w:type="dxa"/>
            <w:tcBorders>
              <w:top w:val="single" w:color="000000" w:sz="4" w:space="0"/>
              <w:left w:val="nil"/>
              <w:bottom w:val="single" w:color="000000" w:sz="4" w:space="0"/>
              <w:right w:val="single" w:color="000000" w:sz="4" w:space="0"/>
            </w:tcBorders>
            <w:shd w:val="clear" w:color="auto" w:fill="auto"/>
            <w:vAlign w:val="center"/>
          </w:tcPr>
          <w:p w14:paraId="0C1AA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双频无线WIFI6路由器</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674C6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7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5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5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45C3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成箱超五类网线</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092DE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6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3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B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CE8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7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成箱六类网线</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23502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C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B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5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3180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3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E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VGA-HDMI转接头</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1178E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B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9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2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CCD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F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1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LC-SC光纤转接头</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01AAF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1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8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1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8ED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9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FB0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10750</w:t>
            </w:r>
          </w:p>
        </w:tc>
      </w:tr>
      <w:tr w14:paraId="2516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B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计算机维修清单</w:t>
            </w:r>
          </w:p>
        </w:tc>
      </w:tr>
      <w:tr w14:paraId="0ADD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F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CPU风扇</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3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1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1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2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41F7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4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9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机械硬盘（1T）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C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6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6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0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0C13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1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A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移动硬盘（1T）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3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F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4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1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7125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C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联想计算机机箱电源</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E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8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8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0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036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0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USB外接网卡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E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1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E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5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CC4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1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1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PCI千兆网卡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0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A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C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C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3EE7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联想计算机主板</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0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A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C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087C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2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C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联想计算机机箱开关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5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7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9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9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CA5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7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9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DDR3</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4G</w:t>
            </w:r>
            <w:r>
              <w:rPr>
                <w:rFonts w:hint="eastAsia" w:ascii="宋体" w:hAnsi="宋体" w:eastAsia="宋体" w:cs="宋体"/>
                <w:i w:val="0"/>
                <w:iCs w:val="0"/>
                <w:color w:val="000000"/>
                <w:kern w:val="0"/>
                <w:sz w:val="21"/>
                <w:szCs w:val="21"/>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4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3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6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B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1CFF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5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B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DDR4内存（4G）</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B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E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8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B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07A2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9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D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USB无线网卡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21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9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8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3D60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1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9D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NVme固态硬盘（250G）</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52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9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94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E7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r>
      <w:tr w14:paraId="20BD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9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B8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SATA3.0</w:t>
            </w:r>
            <w:r>
              <w:rPr>
                <w:rFonts w:hint="eastAsia" w:ascii="宋体" w:hAnsi="宋体" w:eastAsia="宋体" w:cs="宋体"/>
                <w:i w:val="0"/>
                <w:iCs w:val="0"/>
                <w:color w:val="000000"/>
                <w:kern w:val="0"/>
                <w:sz w:val="21"/>
                <w:szCs w:val="21"/>
                <w:u w:val="none"/>
                <w:lang w:val="en-US" w:eastAsia="zh-CN" w:bidi="ar"/>
              </w:rPr>
              <w:t>接口固态硬盘（</w:t>
            </w:r>
            <w:r>
              <w:rPr>
                <w:rFonts w:hint="default" w:ascii="Times New Roman" w:hAnsi="Times New Roman" w:eastAsia="宋体" w:cs="Times New Roman"/>
                <w:i w:val="0"/>
                <w:iCs w:val="0"/>
                <w:color w:val="000000"/>
                <w:kern w:val="0"/>
                <w:sz w:val="21"/>
                <w:szCs w:val="21"/>
                <w:u w:val="none"/>
                <w:lang w:val="en-US" w:eastAsia="zh-CN" w:bidi="ar"/>
              </w:rPr>
              <w:t>250G</w:t>
            </w:r>
            <w:r>
              <w:rPr>
                <w:rFonts w:hint="eastAsia" w:ascii="宋体" w:hAnsi="宋体" w:eastAsia="宋体" w:cs="宋体"/>
                <w:i w:val="0"/>
                <w:iCs w:val="0"/>
                <w:color w:val="000000"/>
                <w:kern w:val="0"/>
                <w:sz w:val="21"/>
                <w:szCs w:val="21"/>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5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8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8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0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127E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E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F3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11240</w:t>
            </w:r>
          </w:p>
        </w:tc>
      </w:tr>
      <w:tr w14:paraId="1172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B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LED屏幕（5块）维修</w:t>
            </w:r>
          </w:p>
        </w:tc>
      </w:tr>
      <w:tr w14:paraId="62BD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5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C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整块单元板</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E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3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1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F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500</w:t>
            </w:r>
          </w:p>
        </w:tc>
      </w:tr>
      <w:tr w14:paraId="6922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1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8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长、短排线</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7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2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0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7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5D76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8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D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5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B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0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931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8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D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F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4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1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4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7C6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9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A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0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F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F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6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FB8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C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3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D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A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C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95E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C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BC2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4000</w:t>
            </w:r>
          </w:p>
        </w:tc>
      </w:tr>
      <w:tr w14:paraId="4366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C6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人工服务费用</w:t>
            </w:r>
          </w:p>
        </w:tc>
      </w:tr>
      <w:tr w14:paraId="2822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7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0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网络维修及LED屏维修</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0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67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A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8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00</w:t>
            </w:r>
          </w:p>
        </w:tc>
      </w:tr>
      <w:tr w14:paraId="2650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12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3000</w:t>
            </w:r>
          </w:p>
        </w:tc>
      </w:tr>
      <w:tr w14:paraId="7F74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8D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740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39600</w:t>
            </w:r>
          </w:p>
        </w:tc>
      </w:tr>
    </w:tbl>
    <w:p w14:paraId="06DF7D38">
      <w:pPr>
        <w:tabs>
          <w:tab w:val="left" w:pos="7020"/>
        </w:tabs>
        <w:spacing w:line="440" w:lineRule="exact"/>
        <w:ind w:firstLine="3880" w:firstLineChars="1617"/>
        <w:rPr>
          <w:rFonts w:hint="eastAsia" w:ascii="宋体" w:hAnsi="宋体"/>
          <w:b/>
          <w:color w:val="000000"/>
          <w:sz w:val="24"/>
        </w:rPr>
      </w:pPr>
    </w:p>
    <w:p w14:paraId="31D5B647">
      <w:pPr>
        <w:widowControl/>
        <w:jc w:val="left"/>
        <w:textAlignment w:val="center"/>
        <w:rPr>
          <w:rFonts w:ascii="宋体" w:hAnsi="宋体" w:cs="宋体"/>
          <w:b/>
          <w:bCs/>
          <w:color w:val="000000"/>
          <w:sz w:val="30"/>
          <w:szCs w:val="30"/>
        </w:rPr>
      </w:pPr>
      <w:r>
        <w:rPr>
          <w:rFonts w:hint="eastAsia" w:ascii="宋体" w:hAnsi="宋体" w:cs="宋体"/>
          <w:b/>
          <w:bCs/>
          <w:color w:val="000000"/>
          <w:sz w:val="30"/>
          <w:szCs w:val="30"/>
        </w:rPr>
        <w:t>（如上述所列项目清单费用在实际使用中有不足或结余者，可在它项类似项目中计算相应费用，实际价格以</w:t>
      </w:r>
      <w:r>
        <w:rPr>
          <w:rFonts w:hint="eastAsia" w:ascii="宋体" w:hAnsi="宋体" w:cs="宋体"/>
          <w:b/>
          <w:bCs/>
          <w:color w:val="000000"/>
          <w:sz w:val="30"/>
          <w:szCs w:val="30"/>
          <w:lang w:val="en-US" w:eastAsia="zh-CN"/>
        </w:rPr>
        <w:t>不突破中标总价</w:t>
      </w:r>
      <w:r>
        <w:rPr>
          <w:rFonts w:hint="eastAsia" w:ascii="宋体" w:hAnsi="宋体" w:cs="宋体"/>
          <w:b/>
          <w:bCs/>
          <w:color w:val="000000"/>
          <w:sz w:val="30"/>
          <w:szCs w:val="30"/>
        </w:rPr>
        <w:t>为准）</w:t>
      </w:r>
    </w:p>
    <w:p w14:paraId="77A9C4FB">
      <w:pPr>
        <w:tabs>
          <w:tab w:val="left" w:pos="7020"/>
        </w:tabs>
        <w:spacing w:line="500" w:lineRule="exact"/>
        <w:rPr>
          <w:rFonts w:ascii="宋体" w:hAnsi="宋体"/>
          <w:color w:val="FF0000"/>
          <w:sz w:val="24"/>
          <w:szCs w:val="24"/>
        </w:rPr>
      </w:pPr>
      <w:r>
        <w:rPr>
          <w:rFonts w:hint="eastAsia" w:ascii="宋体" w:hAnsi="宋体"/>
          <w:color w:val="FF0000"/>
          <w:sz w:val="24"/>
          <w:szCs w:val="24"/>
        </w:rPr>
        <w:t>注：1、如果在技术参数或配置中标明了品牌或产地，则仅供参考，并非指定，投标人可以选用替代的方案，但这种替代整体上须优于或相当于招标文件的相关要求。</w:t>
      </w:r>
    </w:p>
    <w:p w14:paraId="38AE8F38">
      <w:pPr>
        <w:tabs>
          <w:tab w:val="left" w:pos="7020"/>
        </w:tabs>
        <w:spacing w:line="500" w:lineRule="exact"/>
        <w:rPr>
          <w:rFonts w:ascii="宋体" w:hAnsi="宋体"/>
          <w:color w:val="FF0000"/>
          <w:sz w:val="24"/>
          <w:szCs w:val="24"/>
        </w:rPr>
      </w:pPr>
      <w:r>
        <w:rPr>
          <w:rFonts w:hint="eastAsia" w:ascii="宋体" w:hAnsi="宋体"/>
          <w:color w:val="FF0000"/>
          <w:sz w:val="24"/>
          <w:szCs w:val="24"/>
        </w:rPr>
        <w:t>2、为鼓励不同品牌的充分竞争，如某货物的某技术参数或要求属于个别品牌专有，则该技术参数及要求不具有限制性，投标人可对该参数或要求进行适当调整，并应当说明调整的理由， 且该调整须经评委会审核认可。</w:t>
      </w:r>
    </w:p>
    <w:p w14:paraId="07479A61">
      <w:pPr>
        <w:tabs>
          <w:tab w:val="left" w:pos="0"/>
          <w:tab w:val="left" w:pos="426"/>
          <w:tab w:val="left" w:pos="567"/>
        </w:tabs>
        <w:spacing w:line="440" w:lineRule="exact"/>
        <w:rPr>
          <w:rFonts w:hint="eastAsia" w:ascii="宋体" w:hAnsi="宋体" w:eastAsia="宋体"/>
          <w:b/>
          <w:bCs/>
          <w:color w:val="000000"/>
          <w:sz w:val="32"/>
          <w:szCs w:val="24"/>
        </w:rPr>
      </w:pPr>
      <w:bookmarkStart w:id="1" w:name="_Toc28263"/>
      <w:r>
        <w:rPr>
          <w:rFonts w:hint="eastAsia" w:ascii="宋体" w:hAnsi="宋体" w:eastAsia="宋体"/>
          <w:b/>
          <w:bCs/>
          <w:color w:val="000000"/>
          <w:sz w:val="32"/>
          <w:szCs w:val="24"/>
          <w:lang w:val="en-US" w:eastAsia="zh-CN"/>
        </w:rPr>
        <w:t>2、</w:t>
      </w:r>
      <w:r>
        <w:rPr>
          <w:rFonts w:hint="eastAsia" w:ascii="宋体" w:hAnsi="宋体" w:eastAsia="宋体"/>
          <w:b/>
          <w:bCs/>
          <w:color w:val="000000"/>
          <w:sz w:val="32"/>
          <w:szCs w:val="24"/>
        </w:rPr>
        <w:t>技术要求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991"/>
      </w:tblGrid>
      <w:tr w14:paraId="1C8B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491" w:type="dxa"/>
            <w:noWrap w:val="0"/>
            <w:vAlign w:val="center"/>
          </w:tcPr>
          <w:p w14:paraId="553C0896">
            <w:pPr>
              <w:spacing w:line="360" w:lineRule="auto"/>
              <w:jc w:val="center"/>
              <w:rPr>
                <w:rFonts w:ascii="宋体"/>
                <w:b/>
                <w:bCs/>
                <w:color w:val="000000"/>
                <w:sz w:val="24"/>
              </w:rPr>
            </w:pPr>
            <w:bookmarkStart w:id="2" w:name="_Toc468090817"/>
            <w:bookmarkStart w:id="3" w:name="_Toc465413498"/>
            <w:bookmarkStart w:id="4" w:name="_Toc468091160"/>
            <w:r>
              <w:rPr>
                <w:rFonts w:hint="eastAsia" w:ascii="宋体" w:hAnsi="宋体"/>
                <w:b/>
                <w:bCs/>
                <w:color w:val="000000"/>
                <w:sz w:val="24"/>
              </w:rPr>
              <w:t>服务方式</w:t>
            </w:r>
          </w:p>
        </w:tc>
        <w:tc>
          <w:tcPr>
            <w:tcW w:w="7991" w:type="dxa"/>
            <w:noWrap w:val="0"/>
            <w:vAlign w:val="center"/>
          </w:tcPr>
          <w:p w14:paraId="4E5C6629">
            <w:pPr>
              <w:rPr>
                <w:rFonts w:ascii="宋体"/>
                <w:color w:val="000000"/>
                <w:sz w:val="24"/>
              </w:rPr>
            </w:pPr>
            <w:r>
              <w:rPr>
                <w:rFonts w:hint="eastAsia" w:ascii="宋体" w:hAnsi="宋体"/>
                <w:bCs/>
                <w:color w:val="000000"/>
                <w:sz w:val="24"/>
              </w:rPr>
              <w:t>提供</w:t>
            </w:r>
            <w:r>
              <w:rPr>
                <w:rFonts w:ascii="宋体" w:hAnsi="宋体"/>
                <w:bCs/>
                <w:color w:val="000000"/>
                <w:sz w:val="24"/>
              </w:rPr>
              <w:t>7*8</w:t>
            </w:r>
            <w:r>
              <w:rPr>
                <w:rFonts w:hint="eastAsia" w:ascii="宋体" w:hAnsi="宋体"/>
                <w:bCs/>
                <w:color w:val="000000"/>
                <w:sz w:val="24"/>
              </w:rPr>
              <w:t>的快速响应服务，</w:t>
            </w:r>
            <w:r>
              <w:rPr>
                <w:rFonts w:ascii="宋体" w:hAnsi="宋体"/>
                <w:bCs/>
                <w:color w:val="000000"/>
                <w:sz w:val="24"/>
              </w:rPr>
              <w:t>7*24</w:t>
            </w:r>
            <w:r>
              <w:rPr>
                <w:rFonts w:hint="eastAsia" w:ascii="宋体" w:hAnsi="宋体"/>
                <w:bCs/>
                <w:color w:val="000000"/>
                <w:sz w:val="24"/>
              </w:rPr>
              <w:t>的电话支持。</w:t>
            </w:r>
          </w:p>
        </w:tc>
      </w:tr>
      <w:tr w14:paraId="1C21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491" w:type="dxa"/>
            <w:noWrap w:val="0"/>
            <w:vAlign w:val="top"/>
          </w:tcPr>
          <w:p w14:paraId="3EF251B8">
            <w:pPr>
              <w:spacing w:line="360" w:lineRule="auto"/>
              <w:jc w:val="center"/>
              <w:rPr>
                <w:rFonts w:ascii="宋体"/>
                <w:b/>
                <w:color w:val="000000"/>
                <w:sz w:val="24"/>
              </w:rPr>
            </w:pPr>
            <w:r>
              <w:rPr>
                <w:rFonts w:hint="eastAsia" w:ascii="宋体" w:hAnsi="宋体"/>
                <w:b/>
                <w:color w:val="000000"/>
                <w:sz w:val="24"/>
              </w:rPr>
              <w:t>故障解决率</w:t>
            </w:r>
          </w:p>
        </w:tc>
        <w:tc>
          <w:tcPr>
            <w:tcW w:w="7991" w:type="dxa"/>
            <w:noWrap w:val="0"/>
            <w:vAlign w:val="top"/>
          </w:tcPr>
          <w:p w14:paraId="286DDBBC">
            <w:pPr>
              <w:spacing w:line="360" w:lineRule="auto"/>
              <w:jc w:val="left"/>
              <w:rPr>
                <w:rFonts w:ascii="宋体"/>
                <w:color w:val="000000"/>
                <w:sz w:val="24"/>
              </w:rPr>
            </w:pPr>
            <w:r>
              <w:rPr>
                <w:rFonts w:ascii="宋体" w:hAnsi="宋体"/>
                <w:color w:val="000000"/>
                <w:sz w:val="24"/>
              </w:rPr>
              <w:t>100%</w:t>
            </w:r>
          </w:p>
        </w:tc>
      </w:tr>
      <w:tr w14:paraId="4E89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491" w:type="dxa"/>
            <w:noWrap w:val="0"/>
            <w:vAlign w:val="top"/>
          </w:tcPr>
          <w:p w14:paraId="63330857">
            <w:pPr>
              <w:spacing w:line="360" w:lineRule="auto"/>
              <w:jc w:val="center"/>
              <w:rPr>
                <w:rFonts w:ascii="宋体"/>
                <w:b/>
                <w:color w:val="000000"/>
                <w:sz w:val="24"/>
              </w:rPr>
            </w:pPr>
            <w:r>
              <w:rPr>
                <w:rFonts w:hint="eastAsia" w:ascii="宋体" w:hAnsi="宋体"/>
                <w:b/>
                <w:color w:val="000000"/>
                <w:sz w:val="24"/>
              </w:rPr>
              <w:t>用户满意度</w:t>
            </w:r>
          </w:p>
        </w:tc>
        <w:tc>
          <w:tcPr>
            <w:tcW w:w="7991" w:type="dxa"/>
            <w:noWrap w:val="0"/>
            <w:vAlign w:val="top"/>
          </w:tcPr>
          <w:p w14:paraId="3819409D">
            <w:pPr>
              <w:spacing w:line="360" w:lineRule="auto"/>
              <w:jc w:val="left"/>
              <w:rPr>
                <w:rFonts w:ascii="宋体"/>
                <w:color w:val="000000"/>
                <w:sz w:val="24"/>
              </w:rPr>
            </w:pPr>
            <w:r>
              <w:rPr>
                <w:rFonts w:hint="eastAsia" w:ascii="宋体" w:hAnsi="宋体"/>
                <w:color w:val="000000"/>
                <w:sz w:val="24"/>
              </w:rPr>
              <w:t>≥</w:t>
            </w:r>
            <w:r>
              <w:rPr>
                <w:rFonts w:ascii="宋体" w:hAnsi="宋体"/>
                <w:color w:val="000000"/>
                <w:sz w:val="24"/>
              </w:rPr>
              <w:t>95%</w:t>
            </w:r>
          </w:p>
        </w:tc>
      </w:tr>
      <w:tr w14:paraId="06FE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491" w:type="dxa"/>
            <w:noWrap w:val="0"/>
            <w:vAlign w:val="center"/>
          </w:tcPr>
          <w:p w14:paraId="63AFEF06">
            <w:pPr>
              <w:spacing w:line="360" w:lineRule="auto"/>
              <w:jc w:val="center"/>
              <w:rPr>
                <w:rFonts w:ascii="宋体"/>
                <w:b/>
                <w:bCs/>
                <w:color w:val="000000"/>
                <w:sz w:val="24"/>
              </w:rPr>
            </w:pPr>
            <w:r>
              <w:rPr>
                <w:rFonts w:hint="eastAsia" w:ascii="宋体" w:hAnsi="宋体"/>
                <w:b/>
                <w:bCs/>
                <w:color w:val="000000"/>
                <w:sz w:val="24"/>
              </w:rPr>
              <w:t>响应时间</w:t>
            </w:r>
          </w:p>
        </w:tc>
        <w:tc>
          <w:tcPr>
            <w:tcW w:w="7991" w:type="dxa"/>
            <w:noWrap w:val="0"/>
            <w:vAlign w:val="center"/>
          </w:tcPr>
          <w:p w14:paraId="5719E6B7">
            <w:pPr>
              <w:spacing w:line="360" w:lineRule="auto"/>
              <w:jc w:val="left"/>
              <w:rPr>
                <w:rFonts w:ascii="宋体"/>
                <w:bCs/>
                <w:color w:val="000000"/>
                <w:sz w:val="24"/>
              </w:rPr>
            </w:pPr>
            <w:r>
              <w:rPr>
                <w:rFonts w:hint="eastAsia" w:ascii="宋体" w:hAnsi="宋体"/>
                <w:bCs/>
                <w:color w:val="000000"/>
                <w:sz w:val="24"/>
              </w:rPr>
              <w:t>计算机、打印机等设备维修的门急诊响应时间≤30分钟，其他科室响应时间≤6</w:t>
            </w:r>
            <w:r>
              <w:rPr>
                <w:rFonts w:ascii="宋体" w:hAnsi="宋体"/>
                <w:bCs/>
                <w:color w:val="000000"/>
                <w:sz w:val="24"/>
              </w:rPr>
              <w:t>0</w:t>
            </w:r>
            <w:r>
              <w:rPr>
                <w:rFonts w:hint="eastAsia" w:ascii="宋体" w:hAnsi="宋体"/>
                <w:bCs/>
                <w:color w:val="000000"/>
                <w:sz w:val="24"/>
              </w:rPr>
              <w:t>分钟。</w:t>
            </w:r>
          </w:p>
        </w:tc>
      </w:tr>
      <w:tr w14:paraId="1241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491" w:type="dxa"/>
            <w:noWrap w:val="0"/>
            <w:vAlign w:val="center"/>
          </w:tcPr>
          <w:p w14:paraId="35EDEE88">
            <w:pPr>
              <w:spacing w:line="360" w:lineRule="auto"/>
              <w:jc w:val="center"/>
              <w:rPr>
                <w:rFonts w:ascii="宋体"/>
                <w:b/>
                <w:bCs/>
                <w:color w:val="000000"/>
                <w:sz w:val="24"/>
              </w:rPr>
            </w:pPr>
            <w:r>
              <w:rPr>
                <w:rFonts w:hint="eastAsia" w:ascii="宋体" w:hAnsi="宋体"/>
                <w:b/>
                <w:bCs/>
                <w:color w:val="000000"/>
                <w:sz w:val="24"/>
              </w:rPr>
              <w:t>故障处理时间及方式</w:t>
            </w:r>
          </w:p>
        </w:tc>
        <w:tc>
          <w:tcPr>
            <w:tcW w:w="7991" w:type="dxa"/>
            <w:noWrap w:val="0"/>
            <w:vAlign w:val="center"/>
          </w:tcPr>
          <w:p w14:paraId="724EFCAB">
            <w:pPr>
              <w:spacing w:line="360" w:lineRule="auto"/>
              <w:jc w:val="left"/>
              <w:rPr>
                <w:rFonts w:ascii="宋体"/>
                <w:bCs/>
                <w:color w:val="000000"/>
                <w:sz w:val="24"/>
              </w:rPr>
            </w:pPr>
            <w:r>
              <w:rPr>
                <w:rFonts w:hint="eastAsia" w:ascii="宋体" w:hAnsi="宋体"/>
                <w:bCs/>
                <w:color w:val="000000"/>
                <w:sz w:val="24"/>
              </w:rPr>
              <w:t>无法现场维修或30分钟内解决的故障需带回公司维修并更换备用机，硬件故障恢复时间≤</w:t>
            </w:r>
            <w:r>
              <w:rPr>
                <w:rFonts w:ascii="宋体" w:hAnsi="宋体"/>
                <w:bCs/>
                <w:color w:val="000000"/>
                <w:sz w:val="24"/>
              </w:rPr>
              <w:t>2</w:t>
            </w:r>
            <w:r>
              <w:rPr>
                <w:rFonts w:hint="eastAsia" w:ascii="宋体" w:hAnsi="宋体"/>
                <w:bCs/>
                <w:color w:val="000000"/>
                <w:sz w:val="24"/>
              </w:rPr>
              <w:t>日；</w:t>
            </w:r>
            <w:r>
              <w:rPr>
                <w:rFonts w:ascii="宋体" w:hAnsi="宋体"/>
                <w:bCs/>
                <w:color w:val="000000"/>
                <w:sz w:val="24"/>
              </w:rPr>
              <w:t xml:space="preserve"> </w:t>
            </w:r>
            <w:r>
              <w:rPr>
                <w:rFonts w:hint="eastAsia" w:ascii="宋体" w:hAnsi="宋体"/>
                <w:bCs/>
                <w:color w:val="000000"/>
                <w:sz w:val="24"/>
              </w:rPr>
              <w:t>特殊非通用型号硬件故障恢复时间≤</w:t>
            </w:r>
            <w:r>
              <w:rPr>
                <w:rFonts w:ascii="宋体" w:hAnsi="宋体"/>
                <w:bCs/>
                <w:color w:val="000000"/>
                <w:sz w:val="24"/>
              </w:rPr>
              <w:t>4</w:t>
            </w:r>
            <w:r>
              <w:rPr>
                <w:rFonts w:hint="eastAsia" w:ascii="宋体" w:hAnsi="宋体"/>
                <w:bCs/>
                <w:color w:val="000000"/>
                <w:sz w:val="24"/>
              </w:rPr>
              <w:t>日。</w:t>
            </w:r>
          </w:p>
        </w:tc>
      </w:tr>
      <w:tr w14:paraId="7FFB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91" w:type="dxa"/>
            <w:noWrap w:val="0"/>
            <w:vAlign w:val="center"/>
          </w:tcPr>
          <w:p w14:paraId="2A6F1E2D">
            <w:pPr>
              <w:spacing w:line="360" w:lineRule="auto"/>
              <w:jc w:val="center"/>
              <w:rPr>
                <w:rFonts w:ascii="宋体"/>
                <w:b/>
                <w:color w:val="000000"/>
                <w:sz w:val="24"/>
              </w:rPr>
            </w:pPr>
            <w:r>
              <w:rPr>
                <w:rFonts w:hint="eastAsia" w:ascii="宋体" w:hAnsi="宋体"/>
                <w:b/>
                <w:color w:val="000000"/>
                <w:sz w:val="24"/>
              </w:rPr>
              <w:t>备件服务</w:t>
            </w:r>
          </w:p>
        </w:tc>
        <w:tc>
          <w:tcPr>
            <w:tcW w:w="7991" w:type="dxa"/>
            <w:noWrap w:val="0"/>
            <w:vAlign w:val="top"/>
          </w:tcPr>
          <w:p w14:paraId="14CF6DC2">
            <w:pPr>
              <w:spacing w:line="360" w:lineRule="auto"/>
              <w:jc w:val="left"/>
              <w:rPr>
                <w:rFonts w:hint="eastAsia" w:ascii="宋体" w:eastAsia="宋体"/>
                <w:bCs/>
                <w:color w:val="000000"/>
                <w:sz w:val="24"/>
                <w:lang w:eastAsia="zh-CN"/>
              </w:rPr>
            </w:pPr>
            <w:r>
              <w:rPr>
                <w:rFonts w:hint="eastAsia" w:ascii="宋体" w:hAnsi="宋体"/>
                <w:bCs/>
                <w:color w:val="000000"/>
                <w:sz w:val="24"/>
              </w:rPr>
              <w:t>提供备用机</w:t>
            </w:r>
            <w:r>
              <w:rPr>
                <w:rFonts w:ascii="宋体" w:hAnsi="宋体"/>
                <w:bCs/>
                <w:color w:val="000000"/>
                <w:sz w:val="24"/>
              </w:rPr>
              <w:t>(</w:t>
            </w:r>
            <w:r>
              <w:rPr>
                <w:rFonts w:hint="eastAsia" w:ascii="宋体" w:hAnsi="宋体"/>
                <w:bCs/>
                <w:color w:val="000000"/>
                <w:sz w:val="24"/>
              </w:rPr>
              <w:t>含机内耗材</w:t>
            </w:r>
            <w:r>
              <w:rPr>
                <w:rFonts w:ascii="宋体" w:hAnsi="宋体"/>
                <w:bCs/>
                <w:color w:val="000000"/>
                <w:sz w:val="24"/>
              </w:rPr>
              <w:t>)</w:t>
            </w:r>
            <w:r>
              <w:rPr>
                <w:rFonts w:hint="eastAsia" w:ascii="宋体" w:hAnsi="宋体"/>
                <w:bCs/>
                <w:color w:val="000000"/>
                <w:sz w:val="24"/>
              </w:rPr>
              <w:t>，黑白打印机</w:t>
            </w:r>
            <w:r>
              <w:rPr>
                <w:rFonts w:ascii="宋体" w:hAnsi="宋体"/>
                <w:bCs/>
                <w:color w:val="000000"/>
                <w:sz w:val="24"/>
              </w:rPr>
              <w:t>3</w:t>
            </w:r>
            <w:r>
              <w:rPr>
                <w:rFonts w:hint="eastAsia" w:ascii="宋体" w:hAnsi="宋体"/>
                <w:bCs/>
                <w:color w:val="000000"/>
                <w:sz w:val="24"/>
              </w:rPr>
              <w:t>台以上，彩色打印机</w:t>
            </w:r>
            <w:r>
              <w:rPr>
                <w:rFonts w:ascii="宋体" w:hAnsi="宋体"/>
                <w:bCs/>
                <w:color w:val="000000"/>
                <w:sz w:val="24"/>
              </w:rPr>
              <w:t>2</w:t>
            </w:r>
            <w:r>
              <w:rPr>
                <w:rFonts w:hint="eastAsia" w:ascii="宋体" w:hAnsi="宋体"/>
                <w:bCs/>
                <w:color w:val="000000"/>
                <w:sz w:val="24"/>
              </w:rPr>
              <w:t>台以上</w:t>
            </w:r>
            <w:r>
              <w:rPr>
                <w:rFonts w:hint="eastAsia" w:ascii="宋体" w:hAnsi="宋体"/>
                <w:bCs/>
                <w:color w:val="000000"/>
                <w:sz w:val="24"/>
                <w:lang w:eastAsia="zh-CN"/>
              </w:rPr>
              <w:t>。</w:t>
            </w:r>
          </w:p>
        </w:tc>
      </w:tr>
      <w:tr w14:paraId="4FA4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6" w:hRule="atLeast"/>
          <w:jc w:val="center"/>
        </w:trPr>
        <w:tc>
          <w:tcPr>
            <w:tcW w:w="1491" w:type="dxa"/>
            <w:noWrap w:val="0"/>
            <w:vAlign w:val="center"/>
          </w:tcPr>
          <w:p w14:paraId="09201BA6">
            <w:pPr>
              <w:spacing w:line="360" w:lineRule="auto"/>
              <w:jc w:val="center"/>
              <w:rPr>
                <w:rFonts w:ascii="宋体"/>
                <w:b/>
                <w:bCs/>
                <w:color w:val="000000"/>
                <w:sz w:val="24"/>
              </w:rPr>
            </w:pPr>
            <w:r>
              <w:rPr>
                <w:rFonts w:hint="eastAsia" w:ascii="宋体" w:hAnsi="宋体"/>
                <w:b/>
                <w:bCs/>
                <w:color w:val="000000"/>
                <w:sz w:val="24"/>
              </w:rPr>
              <w:t>其它</w:t>
            </w:r>
          </w:p>
          <w:p w14:paraId="78561709">
            <w:pPr>
              <w:spacing w:line="360" w:lineRule="auto"/>
              <w:jc w:val="center"/>
              <w:rPr>
                <w:rFonts w:ascii="宋体"/>
                <w:b/>
                <w:bCs/>
                <w:color w:val="000000"/>
                <w:sz w:val="24"/>
              </w:rPr>
            </w:pPr>
            <w:r>
              <w:rPr>
                <w:rFonts w:hint="eastAsia" w:ascii="宋体" w:hAnsi="宋体"/>
                <w:b/>
                <w:bCs/>
                <w:color w:val="000000"/>
                <w:sz w:val="24"/>
              </w:rPr>
              <w:t>承诺</w:t>
            </w:r>
          </w:p>
          <w:p w14:paraId="180B6040">
            <w:pPr>
              <w:spacing w:line="360" w:lineRule="auto"/>
              <w:jc w:val="center"/>
              <w:rPr>
                <w:rFonts w:ascii="宋体"/>
                <w:b/>
                <w:bCs/>
                <w:color w:val="000000"/>
                <w:sz w:val="24"/>
              </w:rPr>
            </w:pPr>
          </w:p>
        </w:tc>
        <w:tc>
          <w:tcPr>
            <w:tcW w:w="7991" w:type="dxa"/>
            <w:noWrap w:val="0"/>
            <w:vAlign w:val="center"/>
          </w:tcPr>
          <w:p w14:paraId="136E0564">
            <w:pPr>
              <w:spacing w:line="360" w:lineRule="auto"/>
              <w:jc w:val="left"/>
              <w:rPr>
                <w:rFonts w:ascii="宋体"/>
                <w:bCs/>
                <w:color w:val="000000"/>
                <w:sz w:val="24"/>
              </w:rPr>
            </w:pPr>
            <w:r>
              <w:rPr>
                <w:rFonts w:hint="eastAsia" w:ascii="宋体" w:hAnsi="宋体"/>
                <w:bCs/>
                <w:color w:val="000000"/>
                <w:sz w:val="24"/>
              </w:rPr>
              <w:t>计算机与打印机设备维护：</w:t>
            </w:r>
          </w:p>
          <w:p w14:paraId="2F39227A">
            <w:pPr>
              <w:spacing w:line="360" w:lineRule="auto"/>
              <w:jc w:val="left"/>
              <w:rPr>
                <w:rFonts w:ascii="宋体"/>
                <w:bCs/>
                <w:color w:val="000000"/>
                <w:sz w:val="24"/>
              </w:rPr>
            </w:pPr>
            <w:r>
              <w:rPr>
                <w:rFonts w:hint="eastAsia" w:ascii="宋体" w:hAnsi="宋体"/>
                <w:bCs/>
                <w:color w:val="000000"/>
                <w:sz w:val="24"/>
              </w:rPr>
              <w:t>服务商需每月对所有计算机、打印机巡检至少</w:t>
            </w:r>
            <w:r>
              <w:rPr>
                <w:rFonts w:ascii="宋体" w:hAnsi="宋体"/>
                <w:bCs/>
                <w:color w:val="000000"/>
                <w:sz w:val="24"/>
              </w:rPr>
              <w:t>1</w:t>
            </w:r>
            <w:r>
              <w:rPr>
                <w:rFonts w:hint="eastAsia" w:ascii="宋体" w:hAnsi="宋体"/>
                <w:bCs/>
                <w:color w:val="000000"/>
                <w:sz w:val="24"/>
              </w:rPr>
              <w:t>次，提供巡检报告。</w:t>
            </w:r>
            <w:r>
              <w:rPr>
                <w:rFonts w:hint="eastAsia" w:ascii="宋体" w:hAnsi="宋体"/>
                <w:bCs/>
                <w:sz w:val="24"/>
              </w:rPr>
              <w:t>在服务期内</w:t>
            </w:r>
            <w:r>
              <w:rPr>
                <w:rFonts w:ascii="宋体"/>
                <w:bCs/>
                <w:sz w:val="24"/>
              </w:rPr>
              <w:t>,</w:t>
            </w:r>
            <w:r>
              <w:rPr>
                <w:rFonts w:hint="eastAsia" w:ascii="宋体" w:hAnsi="宋体"/>
                <w:bCs/>
                <w:sz w:val="24"/>
              </w:rPr>
              <w:t>服务商应对中医院内所有计算机、打印机免费提供硬件日常保养、故障维护处理、打印机替换、更换配件（含数据线、电源线），配件费用按中标价格另外计算</w:t>
            </w:r>
            <w:r>
              <w:rPr>
                <w:rFonts w:ascii="宋体"/>
                <w:bCs/>
                <w:sz w:val="24"/>
              </w:rPr>
              <w:t>,</w:t>
            </w:r>
            <w:r>
              <w:rPr>
                <w:rFonts w:hint="eastAsia" w:ascii="宋体" w:hAnsi="宋体"/>
                <w:bCs/>
                <w:sz w:val="24"/>
              </w:rPr>
              <w:t>保证中医院内所有计算机与打印机等设备在维</w:t>
            </w:r>
            <w:r>
              <w:rPr>
                <w:rFonts w:hint="eastAsia" w:ascii="宋体" w:hAnsi="宋体"/>
                <w:bCs/>
                <w:color w:val="000000"/>
                <w:sz w:val="24"/>
              </w:rPr>
              <w:t>运期内的可用性，确保其可操作、可执行。</w:t>
            </w:r>
          </w:p>
        </w:tc>
      </w:tr>
      <w:tr w14:paraId="35B8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1" w:type="dxa"/>
            <w:noWrap w:val="0"/>
            <w:vAlign w:val="center"/>
          </w:tcPr>
          <w:p w14:paraId="4054FCE1">
            <w:pPr>
              <w:spacing w:line="360" w:lineRule="auto"/>
              <w:jc w:val="center"/>
              <w:rPr>
                <w:rFonts w:ascii="宋体"/>
                <w:b/>
                <w:bCs/>
                <w:color w:val="000000"/>
                <w:sz w:val="24"/>
              </w:rPr>
            </w:pPr>
            <w:r>
              <w:rPr>
                <w:rFonts w:hint="eastAsia" w:ascii="宋体" w:hAnsi="宋体"/>
                <w:b/>
                <w:bCs/>
                <w:color w:val="000000"/>
                <w:sz w:val="24"/>
              </w:rPr>
              <w:t>保密措施</w:t>
            </w:r>
          </w:p>
        </w:tc>
        <w:tc>
          <w:tcPr>
            <w:tcW w:w="7991" w:type="dxa"/>
            <w:noWrap w:val="0"/>
            <w:vAlign w:val="center"/>
          </w:tcPr>
          <w:p w14:paraId="61754176">
            <w:pPr>
              <w:spacing w:line="360" w:lineRule="auto"/>
              <w:rPr>
                <w:rFonts w:ascii="宋体"/>
                <w:bCs/>
                <w:color w:val="000000"/>
                <w:sz w:val="24"/>
              </w:rPr>
            </w:pPr>
            <w:r>
              <w:rPr>
                <w:rFonts w:ascii="宋体" w:hAnsi="宋体"/>
                <w:bCs/>
                <w:color w:val="000000"/>
                <w:sz w:val="24"/>
              </w:rPr>
              <w:t>1</w:t>
            </w:r>
            <w:r>
              <w:rPr>
                <w:rFonts w:hint="eastAsia" w:ascii="宋体" w:hAnsi="宋体"/>
                <w:bCs/>
                <w:color w:val="000000"/>
                <w:sz w:val="24"/>
              </w:rPr>
              <w:t>、未经中医院相关负责人授权许可，凡涉及中医院相关的机型配置、</w:t>
            </w:r>
            <w:r>
              <w:rPr>
                <w:rFonts w:ascii="宋体" w:hAnsi="宋体"/>
                <w:bCs/>
                <w:color w:val="000000"/>
                <w:sz w:val="24"/>
              </w:rPr>
              <w:t>IP</w:t>
            </w:r>
            <w:r>
              <w:rPr>
                <w:rFonts w:hint="eastAsia" w:ascii="宋体" w:hAnsi="宋体"/>
                <w:bCs/>
                <w:color w:val="000000"/>
                <w:sz w:val="24"/>
              </w:rPr>
              <w:t>地址、软件等信息服务商不得向第三方泄露。</w:t>
            </w:r>
          </w:p>
          <w:p w14:paraId="4DA523E1">
            <w:pPr>
              <w:spacing w:line="360" w:lineRule="auto"/>
              <w:rPr>
                <w:rFonts w:ascii="宋体"/>
                <w:bCs/>
                <w:color w:val="000000"/>
                <w:sz w:val="24"/>
              </w:rPr>
            </w:pPr>
            <w:r>
              <w:rPr>
                <w:rFonts w:ascii="宋体" w:hAnsi="宋体"/>
                <w:bCs/>
                <w:color w:val="000000"/>
                <w:sz w:val="24"/>
              </w:rPr>
              <w:t>2</w:t>
            </w:r>
            <w:r>
              <w:rPr>
                <w:rFonts w:hint="eastAsia" w:ascii="宋体" w:hAnsi="宋体"/>
                <w:bCs/>
                <w:color w:val="000000"/>
                <w:sz w:val="24"/>
              </w:rPr>
              <w:t>、未经中医院相关负责人授权许可，凡涉及中医院相关系统的数据信息（无论是打印或介质上的数据信息），服务商不得带离中医院相关工作现场。</w:t>
            </w:r>
          </w:p>
        </w:tc>
      </w:tr>
      <w:tr w14:paraId="1F86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491" w:type="dxa"/>
            <w:noWrap w:val="0"/>
            <w:vAlign w:val="center"/>
          </w:tcPr>
          <w:p w14:paraId="59FF79B3">
            <w:pPr>
              <w:spacing w:line="360" w:lineRule="auto"/>
              <w:jc w:val="center"/>
              <w:rPr>
                <w:rFonts w:ascii="宋体"/>
                <w:b/>
                <w:bCs/>
                <w:color w:val="000000"/>
                <w:sz w:val="24"/>
              </w:rPr>
            </w:pPr>
            <w:r>
              <w:rPr>
                <w:rFonts w:hint="eastAsia" w:ascii="宋体" w:hAnsi="宋体"/>
                <w:b/>
                <w:bCs/>
                <w:color w:val="000000"/>
                <w:sz w:val="24"/>
              </w:rPr>
              <w:t>服务报告</w:t>
            </w:r>
          </w:p>
        </w:tc>
        <w:tc>
          <w:tcPr>
            <w:tcW w:w="7991" w:type="dxa"/>
            <w:noWrap w:val="0"/>
            <w:vAlign w:val="center"/>
          </w:tcPr>
          <w:p w14:paraId="0ACE2836">
            <w:pPr>
              <w:spacing w:line="360" w:lineRule="auto"/>
              <w:jc w:val="left"/>
              <w:rPr>
                <w:rFonts w:ascii="宋体"/>
                <w:bCs/>
                <w:color w:val="000000"/>
                <w:sz w:val="24"/>
              </w:rPr>
            </w:pPr>
            <w:r>
              <w:rPr>
                <w:rFonts w:hint="eastAsia" w:ascii="宋体" w:hAnsi="宋体"/>
                <w:bCs/>
                <w:color w:val="000000"/>
                <w:sz w:val="24"/>
              </w:rPr>
              <w:t>提供故障处理单、巡检表、季</w:t>
            </w:r>
            <w:r>
              <w:rPr>
                <w:rFonts w:ascii="宋体" w:hAnsi="宋体"/>
                <w:bCs/>
                <w:color w:val="000000"/>
                <w:sz w:val="24"/>
              </w:rPr>
              <w:t>/</w:t>
            </w:r>
            <w:r>
              <w:rPr>
                <w:rFonts w:hint="eastAsia" w:ascii="宋体" w:hAnsi="宋体"/>
                <w:bCs/>
                <w:color w:val="000000"/>
                <w:sz w:val="24"/>
              </w:rPr>
              <w:t>年度服务报告等</w:t>
            </w:r>
          </w:p>
        </w:tc>
      </w:tr>
      <w:bookmarkEnd w:id="1"/>
      <w:bookmarkEnd w:id="2"/>
      <w:bookmarkEnd w:id="3"/>
      <w:bookmarkEnd w:id="4"/>
    </w:tbl>
    <w:p w14:paraId="2DA2F1B4">
      <w:pPr>
        <w:pStyle w:val="37"/>
        <w:tabs>
          <w:tab w:val="left" w:pos="7020"/>
        </w:tabs>
        <w:spacing w:line="440" w:lineRule="exact"/>
        <w:ind w:firstLine="0" w:firstLineChars="0"/>
        <w:jc w:val="left"/>
        <w:rPr>
          <w:rFonts w:hint="eastAsia" w:ascii="宋体" w:hAnsi="宋体" w:eastAsia="宋体" w:cs="黑体"/>
          <w:b/>
          <w:bCs/>
          <w:color w:val="000000"/>
          <w:kern w:val="2"/>
          <w:sz w:val="32"/>
          <w:szCs w:val="24"/>
          <w:lang w:val="en-US" w:eastAsia="zh-CN" w:bidi="ar-SA"/>
        </w:rPr>
      </w:pPr>
      <w:bookmarkStart w:id="5" w:name="_Toc465413499"/>
      <w:bookmarkStart w:id="6" w:name="_Toc468091161"/>
      <w:bookmarkStart w:id="7" w:name="_Toc468090818"/>
      <w:r>
        <w:rPr>
          <w:rFonts w:hint="eastAsia" w:ascii="宋体" w:hAnsi="宋体" w:eastAsia="宋体" w:cs="黑体"/>
          <w:b/>
          <w:bCs/>
          <w:color w:val="000000"/>
          <w:kern w:val="2"/>
          <w:sz w:val="32"/>
          <w:szCs w:val="24"/>
          <w:lang w:val="en-US" w:eastAsia="zh-CN" w:bidi="ar-SA"/>
        </w:rPr>
        <w:t>3、服务内容</w:t>
      </w:r>
      <w:bookmarkEnd w:id="5"/>
      <w:bookmarkEnd w:id="6"/>
      <w:bookmarkEnd w:id="7"/>
    </w:p>
    <w:p w14:paraId="0713E22C">
      <w:pPr>
        <w:pStyle w:val="38"/>
        <w:spacing w:before="0" w:beforeLines="0" w:line="440" w:lineRule="exact"/>
        <w:ind w:left="0" w:firstLine="480" w:firstLineChars="200"/>
        <w:rPr>
          <w:szCs w:val="24"/>
        </w:rPr>
      </w:pPr>
      <w:r>
        <w:rPr>
          <w:rFonts w:hint="eastAsia"/>
          <w:color w:val="000000"/>
          <w:szCs w:val="24"/>
        </w:rPr>
        <w:t>服务商接到市中医院用户的服务请求后，服务人员3</w:t>
      </w:r>
      <w:r>
        <w:rPr>
          <w:color w:val="000000"/>
          <w:szCs w:val="24"/>
        </w:rPr>
        <w:t>0</w:t>
      </w:r>
      <w:r>
        <w:rPr>
          <w:rFonts w:hint="eastAsia"/>
          <w:color w:val="000000"/>
          <w:szCs w:val="24"/>
        </w:rPr>
        <w:t>分钟内到达现场并在完成故障响应、申报、处理、记录、投诉、咨询后进行现场服务，</w:t>
      </w:r>
      <w:r>
        <w:rPr>
          <w:rFonts w:hint="eastAsia"/>
          <w:szCs w:val="24"/>
        </w:rPr>
        <w:t>如在规定时间内无法解决故障，</w:t>
      </w:r>
      <w:r>
        <w:rPr>
          <w:rFonts w:hint="eastAsia"/>
          <w:color w:val="000000"/>
          <w:szCs w:val="24"/>
        </w:rPr>
        <w:t>服务商提供备用机</w:t>
      </w:r>
      <w:r>
        <w:rPr>
          <w:color w:val="000000"/>
          <w:szCs w:val="24"/>
        </w:rPr>
        <w:t>(</w:t>
      </w:r>
      <w:r>
        <w:rPr>
          <w:rFonts w:hint="eastAsia"/>
          <w:color w:val="000000"/>
          <w:szCs w:val="24"/>
        </w:rPr>
        <w:t>含机内耗材</w:t>
      </w:r>
      <w:r>
        <w:rPr>
          <w:color w:val="000000"/>
          <w:szCs w:val="24"/>
        </w:rPr>
        <w:t>)</w:t>
      </w:r>
      <w:r>
        <w:rPr>
          <w:rFonts w:hint="eastAsia"/>
          <w:color w:val="000000"/>
          <w:szCs w:val="24"/>
        </w:rPr>
        <w:t>，且规定时间内完成配件更换，恢复设备运行，并向用户提供当</w:t>
      </w:r>
      <w:r>
        <w:rPr>
          <w:rFonts w:hint="eastAsia"/>
          <w:szCs w:val="24"/>
        </w:rPr>
        <w:t>次的服务报告。</w:t>
      </w:r>
    </w:p>
    <w:p w14:paraId="2030065F">
      <w:pPr>
        <w:pStyle w:val="22"/>
        <w:tabs>
          <w:tab w:val="left" w:pos="0"/>
          <w:tab w:val="left" w:pos="426"/>
          <w:tab w:val="left" w:pos="567"/>
        </w:tabs>
        <w:spacing w:line="440" w:lineRule="exact"/>
        <w:ind w:firstLine="0" w:firstLineChars="0"/>
        <w:rPr>
          <w:rFonts w:hint="eastAsia" w:ascii="宋体" w:hAnsi="宋体" w:cs="Times New Roman"/>
          <w:b/>
          <w:bCs/>
          <w:color w:val="000000"/>
          <w:sz w:val="24"/>
          <w:szCs w:val="21"/>
          <w:lang w:val="en-US" w:eastAsia="zh-CN"/>
        </w:rPr>
      </w:pPr>
      <w:bookmarkStart w:id="8" w:name="_Toc468091162"/>
      <w:bookmarkStart w:id="9" w:name="_Toc465413500"/>
      <w:bookmarkStart w:id="10" w:name="_Toc468090819"/>
      <w:r>
        <w:rPr>
          <w:rFonts w:hint="eastAsia" w:ascii="宋体" w:hAnsi="宋体" w:cs="Times New Roman"/>
          <w:b/>
          <w:bCs/>
          <w:color w:val="000000"/>
          <w:sz w:val="24"/>
          <w:szCs w:val="21"/>
          <w:lang w:val="en-US" w:eastAsia="zh-CN"/>
        </w:rPr>
        <w:t>3.1设备运维服务</w:t>
      </w:r>
      <w:bookmarkEnd w:id="8"/>
      <w:bookmarkEnd w:id="9"/>
      <w:bookmarkEnd w:id="10"/>
    </w:p>
    <w:p w14:paraId="600A1190">
      <w:pPr>
        <w:pStyle w:val="22"/>
        <w:spacing w:line="440" w:lineRule="exact"/>
        <w:ind w:firstLine="566" w:firstLineChars="236"/>
        <w:rPr>
          <w:rFonts w:ascii="宋体"/>
          <w:bCs/>
          <w:color w:val="000000"/>
          <w:sz w:val="24"/>
        </w:rPr>
      </w:pPr>
      <w:r>
        <w:rPr>
          <w:rFonts w:hint="eastAsia" w:ascii="宋体" w:hAnsi="宋体"/>
          <w:bCs/>
          <w:color w:val="000000"/>
          <w:sz w:val="24"/>
        </w:rPr>
        <w:t>服务商需为</w:t>
      </w:r>
      <w:r>
        <w:rPr>
          <w:rFonts w:hint="eastAsia"/>
          <w:color w:val="000000"/>
        </w:rPr>
        <w:t>市</w:t>
      </w:r>
      <w:r>
        <w:rPr>
          <w:rFonts w:hint="eastAsia" w:ascii="宋体" w:hAnsi="宋体"/>
          <w:bCs/>
          <w:color w:val="000000"/>
          <w:sz w:val="24"/>
        </w:rPr>
        <w:t>中医院处理计算机硬件设备在使用过程中遇到的各种问题，以确保用户计算机、打印机的正常使用。</w:t>
      </w:r>
    </w:p>
    <w:p w14:paraId="2870E3A7">
      <w:pPr>
        <w:pStyle w:val="22"/>
        <w:tabs>
          <w:tab w:val="left" w:pos="0"/>
          <w:tab w:val="left" w:pos="426"/>
          <w:tab w:val="left" w:pos="567"/>
        </w:tabs>
        <w:spacing w:line="440" w:lineRule="exact"/>
        <w:ind w:firstLine="0" w:firstLineChars="0"/>
        <w:rPr>
          <w:rFonts w:ascii="宋体"/>
          <w:b/>
          <w:bCs/>
          <w:color w:val="000000"/>
          <w:sz w:val="24"/>
          <w:szCs w:val="21"/>
        </w:rPr>
      </w:pPr>
      <w:r>
        <w:rPr>
          <w:rFonts w:hint="eastAsia" w:ascii="宋体" w:hAnsi="宋体"/>
          <w:b/>
          <w:bCs/>
          <w:color w:val="000000"/>
          <w:sz w:val="24"/>
          <w:szCs w:val="21"/>
          <w:lang w:val="en-US" w:eastAsia="zh-CN"/>
        </w:rPr>
        <w:t>3</w:t>
      </w:r>
      <w:r>
        <w:rPr>
          <w:rFonts w:ascii="宋体" w:hAnsi="宋体"/>
          <w:b/>
          <w:bCs/>
          <w:color w:val="000000"/>
          <w:sz w:val="24"/>
          <w:szCs w:val="21"/>
        </w:rPr>
        <w:t>.1.1</w:t>
      </w:r>
      <w:r>
        <w:rPr>
          <w:rFonts w:hint="eastAsia" w:ascii="宋体" w:hAnsi="宋体"/>
          <w:b/>
          <w:bCs/>
          <w:color w:val="000000"/>
          <w:sz w:val="24"/>
          <w:szCs w:val="21"/>
        </w:rPr>
        <w:t>硬件维护服务工作</w:t>
      </w:r>
    </w:p>
    <w:p w14:paraId="70094E1F">
      <w:pPr>
        <w:pStyle w:val="38"/>
        <w:spacing w:before="0" w:beforeLines="0" w:line="440" w:lineRule="exact"/>
        <w:ind w:left="0" w:firstLine="480" w:firstLineChars="200"/>
        <w:rPr>
          <w:rFonts w:hint="eastAsia" w:ascii="宋体" w:hAnsi="宋体" w:cs="Times New Roman"/>
          <w:color w:val="000000"/>
          <w:szCs w:val="24"/>
        </w:rPr>
      </w:pPr>
      <w:r>
        <w:rPr>
          <w:rFonts w:hint="eastAsia" w:ascii="宋体" w:hAnsi="宋体" w:cs="Times New Roman"/>
          <w:color w:val="000000"/>
          <w:szCs w:val="24"/>
        </w:rPr>
        <w:t>办公终端计算机设备安装、维护、维修与配件更换服务：基于PC、主机、显示器或其它和PC相关的硬件设备安装（如CPU、主板、内存、显卡、声卡、网卡、电脑以及相关外设）；</w:t>
      </w:r>
    </w:p>
    <w:p w14:paraId="31AAD254">
      <w:pPr>
        <w:pStyle w:val="38"/>
        <w:spacing w:before="0" w:beforeLines="0" w:line="440" w:lineRule="exact"/>
        <w:ind w:left="0" w:firstLine="480" w:firstLineChars="200"/>
        <w:rPr>
          <w:rFonts w:hint="eastAsia" w:ascii="宋体" w:hAnsi="宋体" w:cs="Times New Roman"/>
          <w:color w:val="000000"/>
          <w:szCs w:val="24"/>
        </w:rPr>
      </w:pPr>
      <w:r>
        <w:rPr>
          <w:rFonts w:hint="eastAsia" w:ascii="宋体" w:hAnsi="宋体" w:cs="Times New Roman"/>
          <w:color w:val="000000"/>
          <w:szCs w:val="24"/>
        </w:rPr>
        <w:t>硬件设备的连接、加电、网络连接、附件的安装、驱动程序的安装，设备安装前须对新设备安装操作系统、日常办公常用软件，使其达到可用状态，并在相应的管理系统中建立新设备的相应档案；</w:t>
      </w:r>
    </w:p>
    <w:p w14:paraId="795C337B">
      <w:pPr>
        <w:pStyle w:val="38"/>
        <w:spacing w:before="0" w:beforeLines="0" w:line="440" w:lineRule="exact"/>
        <w:ind w:left="0" w:firstLine="480" w:firstLineChars="200"/>
        <w:rPr>
          <w:rFonts w:hint="eastAsia" w:ascii="宋体" w:hAnsi="宋体" w:cs="Times New Roman"/>
          <w:color w:val="000000"/>
          <w:szCs w:val="24"/>
        </w:rPr>
      </w:pPr>
      <w:r>
        <w:rPr>
          <w:rFonts w:hint="eastAsia" w:ascii="宋体" w:hAnsi="宋体" w:cs="Times New Roman"/>
          <w:color w:val="000000"/>
          <w:szCs w:val="24"/>
        </w:rPr>
        <w:t>在合同期内，配合客户单位对范围内的计算机设备进行资产清查、抽查核对登记，检查资产标签是否相符。</w:t>
      </w:r>
    </w:p>
    <w:p w14:paraId="5C217507">
      <w:pPr>
        <w:pStyle w:val="22"/>
        <w:tabs>
          <w:tab w:val="left" w:pos="0"/>
          <w:tab w:val="left" w:pos="426"/>
          <w:tab w:val="left" w:pos="567"/>
        </w:tabs>
        <w:spacing w:line="440" w:lineRule="exact"/>
        <w:ind w:firstLine="0" w:firstLineChars="0"/>
        <w:rPr>
          <w:rFonts w:ascii="宋体"/>
          <w:b/>
          <w:bCs/>
          <w:color w:val="000000"/>
          <w:sz w:val="24"/>
          <w:szCs w:val="21"/>
        </w:rPr>
      </w:pPr>
      <w:r>
        <w:rPr>
          <w:rFonts w:hint="eastAsia" w:ascii="宋体" w:hAnsi="宋体"/>
          <w:b/>
          <w:bCs/>
          <w:color w:val="000000"/>
          <w:sz w:val="24"/>
          <w:szCs w:val="21"/>
          <w:lang w:val="en-US" w:eastAsia="zh-CN"/>
        </w:rPr>
        <w:t>3</w:t>
      </w:r>
      <w:r>
        <w:rPr>
          <w:rFonts w:ascii="宋体" w:hAnsi="宋体"/>
          <w:b/>
          <w:bCs/>
          <w:color w:val="000000"/>
          <w:sz w:val="24"/>
          <w:szCs w:val="21"/>
        </w:rPr>
        <w:t>.1.2</w:t>
      </w:r>
      <w:r>
        <w:rPr>
          <w:rFonts w:hint="eastAsia" w:ascii="宋体" w:hAnsi="宋体"/>
          <w:b/>
          <w:bCs/>
          <w:color w:val="000000"/>
          <w:sz w:val="24"/>
          <w:szCs w:val="21"/>
        </w:rPr>
        <w:t>其它服务工作</w:t>
      </w:r>
    </w:p>
    <w:p w14:paraId="472F8C9E">
      <w:pPr>
        <w:pStyle w:val="38"/>
        <w:spacing w:before="0" w:beforeLines="0" w:line="440" w:lineRule="exact"/>
        <w:ind w:left="0" w:firstLine="480" w:firstLineChars="200"/>
        <w:rPr>
          <w:rFonts w:hint="eastAsia" w:ascii="宋体" w:hAnsi="宋体" w:cs="Times New Roman"/>
          <w:color w:val="000000"/>
          <w:szCs w:val="24"/>
        </w:rPr>
      </w:pPr>
      <w:r>
        <w:rPr>
          <w:rFonts w:hint="eastAsia" w:ascii="宋体" w:hAnsi="宋体" w:cs="Times New Roman"/>
          <w:color w:val="000000"/>
          <w:szCs w:val="24"/>
        </w:rPr>
        <w:t>办公电脑清洁：每半年定期对市中医院办公电脑进行清洁，清洁服务主要是对办公电脑硬件上进行清洁，由服务商提供清洁工具，清洁服务可通过日常维护维修、维护的过程中进行；清洁的办公电脑能达到清洁、去灰尘、除菌、除污垢、除静电的目的，通过清洁保养服务，最大限度降低设备的故障率，延长设备的使用寿命；</w:t>
      </w:r>
    </w:p>
    <w:p w14:paraId="0D6A880D">
      <w:pPr>
        <w:pStyle w:val="38"/>
        <w:spacing w:before="0" w:beforeLines="0" w:line="440" w:lineRule="exact"/>
        <w:ind w:left="0" w:firstLine="480" w:firstLineChars="200"/>
        <w:rPr>
          <w:rFonts w:hint="eastAsia" w:ascii="宋体" w:hAnsi="宋体" w:cs="Times New Roman"/>
          <w:color w:val="000000"/>
          <w:szCs w:val="24"/>
        </w:rPr>
      </w:pPr>
      <w:r>
        <w:rPr>
          <w:rFonts w:hint="eastAsia" w:ascii="宋体" w:hAnsi="宋体" w:cs="Times New Roman"/>
          <w:color w:val="000000"/>
          <w:szCs w:val="24"/>
        </w:rPr>
        <w:t>用户资料收集：项目启动后，项目组人员需主动进行全面检查，包括办公终端设备的数量、设备及用户信息流动性的统计。每一季度进行一次用户资料收集，并将相关统计数据提交信息科进行审核。</w:t>
      </w:r>
      <w:bookmarkStart w:id="11" w:name="_Toc465413501"/>
      <w:bookmarkStart w:id="12" w:name="_Toc468091163"/>
      <w:bookmarkStart w:id="13" w:name="_Toc468090820"/>
    </w:p>
    <w:p w14:paraId="0401247D">
      <w:pPr>
        <w:pStyle w:val="38"/>
        <w:spacing w:before="0" w:beforeLines="0" w:line="440" w:lineRule="exact"/>
        <w:ind w:left="0" w:firstLine="480" w:firstLineChars="200"/>
        <w:rPr>
          <w:rFonts w:hint="eastAsia" w:ascii="宋体" w:hAnsi="宋体" w:cs="Times New Roman"/>
          <w:color w:val="000000"/>
          <w:szCs w:val="24"/>
        </w:rPr>
      </w:pPr>
      <w:r>
        <w:rPr>
          <w:rFonts w:hint="eastAsia" w:ascii="宋体" w:hAnsi="宋体" w:cs="Times New Roman"/>
          <w:color w:val="000000"/>
          <w:szCs w:val="24"/>
        </w:rPr>
        <w:t>应急服务：完成市中医院交代的应急任务。</w:t>
      </w:r>
    </w:p>
    <w:p w14:paraId="5B37C3A1">
      <w:pPr>
        <w:pStyle w:val="22"/>
        <w:tabs>
          <w:tab w:val="left" w:pos="0"/>
          <w:tab w:val="left" w:pos="426"/>
          <w:tab w:val="left" w:pos="567"/>
        </w:tabs>
        <w:spacing w:line="440" w:lineRule="exact"/>
        <w:ind w:firstLine="0" w:firstLineChars="0"/>
        <w:rPr>
          <w:rFonts w:ascii="宋体"/>
          <w:b/>
          <w:bCs/>
          <w:color w:val="000000"/>
          <w:sz w:val="24"/>
          <w:szCs w:val="21"/>
        </w:rPr>
      </w:pPr>
      <w:r>
        <w:rPr>
          <w:rFonts w:hint="eastAsia" w:ascii="宋体" w:hAnsi="宋体"/>
          <w:b/>
          <w:bCs/>
          <w:color w:val="000000"/>
          <w:sz w:val="24"/>
          <w:szCs w:val="21"/>
          <w:lang w:val="en-US" w:eastAsia="zh-CN"/>
        </w:rPr>
        <w:t>3</w:t>
      </w:r>
      <w:r>
        <w:rPr>
          <w:rFonts w:ascii="宋体" w:hAnsi="宋体"/>
          <w:b/>
          <w:bCs/>
          <w:color w:val="000000"/>
          <w:sz w:val="24"/>
          <w:szCs w:val="21"/>
        </w:rPr>
        <w:t>.2</w:t>
      </w:r>
      <w:r>
        <w:rPr>
          <w:rFonts w:hint="eastAsia" w:ascii="宋体" w:hAnsi="宋体"/>
          <w:b/>
          <w:bCs/>
          <w:color w:val="000000"/>
          <w:sz w:val="24"/>
          <w:szCs w:val="21"/>
        </w:rPr>
        <w:t>外设设备维护服务</w:t>
      </w:r>
      <w:bookmarkEnd w:id="11"/>
      <w:bookmarkEnd w:id="12"/>
      <w:bookmarkEnd w:id="13"/>
    </w:p>
    <w:p w14:paraId="1D7AA650">
      <w:pPr>
        <w:spacing w:line="440" w:lineRule="exact"/>
        <w:rPr>
          <w:rFonts w:hint="eastAsia" w:ascii="宋体" w:hAnsi="宋体" w:eastAsia="宋体"/>
          <w:sz w:val="24"/>
        </w:rPr>
      </w:pPr>
      <w:r>
        <w:rPr>
          <w:rFonts w:hint="eastAsia" w:ascii="宋体" w:hAnsi="宋体" w:eastAsia="宋体"/>
          <w:sz w:val="24"/>
        </w:rPr>
        <w:t>包括对电脑周边设备如打印机等外设设备维修维护，具体内容为：</w:t>
      </w:r>
    </w:p>
    <w:p w14:paraId="4CA6D180">
      <w:pPr>
        <w:spacing w:line="440" w:lineRule="exact"/>
        <w:ind w:firstLine="240" w:firstLineChars="100"/>
        <w:rPr>
          <w:rFonts w:hint="eastAsia" w:ascii="宋体" w:hAnsi="宋体" w:eastAsia="宋体"/>
          <w:sz w:val="24"/>
        </w:rPr>
      </w:pPr>
      <w:r>
        <w:rPr>
          <w:rFonts w:hint="eastAsia" w:ascii="宋体" w:hAnsi="宋体" w:eastAsia="宋体"/>
          <w:sz w:val="24"/>
        </w:rPr>
        <w:t>硬件：安装、连接、设置、调试、故障检测、耗材更换、零配件更换、故障配件更换、维修故障检查、排除等；</w:t>
      </w:r>
    </w:p>
    <w:p w14:paraId="435EC244">
      <w:pPr>
        <w:spacing w:line="440" w:lineRule="exact"/>
        <w:ind w:firstLine="240" w:firstLineChars="100"/>
        <w:rPr>
          <w:rFonts w:hint="eastAsia" w:ascii="宋体" w:hAnsi="宋体" w:eastAsia="宋体"/>
          <w:sz w:val="24"/>
        </w:rPr>
      </w:pPr>
      <w:r>
        <w:rPr>
          <w:rFonts w:hint="eastAsia" w:ascii="宋体" w:hAnsi="宋体" w:eastAsia="宋体"/>
          <w:sz w:val="24"/>
        </w:rPr>
        <w:t>软件：系统上进行驱动安装、共享连接、设置、故障检测、维护；</w:t>
      </w:r>
    </w:p>
    <w:p w14:paraId="6D6CAC44">
      <w:pPr>
        <w:spacing w:line="440" w:lineRule="exact"/>
        <w:ind w:firstLine="240" w:firstLineChars="100"/>
        <w:rPr>
          <w:rFonts w:hint="eastAsia" w:ascii="宋体" w:hAnsi="宋体" w:eastAsia="宋体"/>
          <w:sz w:val="24"/>
        </w:rPr>
      </w:pPr>
      <w:r>
        <w:rPr>
          <w:rFonts w:hint="eastAsia" w:ascii="宋体" w:hAnsi="宋体" w:eastAsia="宋体"/>
          <w:sz w:val="24"/>
        </w:rPr>
        <w:t>维修过程中的备件提供，报废设备更换。</w:t>
      </w:r>
      <w:bookmarkStart w:id="14" w:name="_Toc465413502"/>
      <w:bookmarkStart w:id="15" w:name="_Toc468090821"/>
      <w:bookmarkStart w:id="16" w:name="_Toc468091164"/>
    </w:p>
    <w:p w14:paraId="725FF2D7">
      <w:pPr>
        <w:pStyle w:val="22"/>
        <w:tabs>
          <w:tab w:val="left" w:pos="0"/>
          <w:tab w:val="left" w:pos="426"/>
          <w:tab w:val="left" w:pos="567"/>
        </w:tabs>
        <w:spacing w:line="440" w:lineRule="exact"/>
        <w:ind w:firstLine="0" w:firstLineChars="0"/>
        <w:rPr>
          <w:rFonts w:ascii="宋体" w:hAnsi="宋体"/>
          <w:b/>
          <w:bCs/>
          <w:color w:val="000000"/>
          <w:sz w:val="24"/>
          <w:szCs w:val="21"/>
        </w:rPr>
      </w:pPr>
      <w:r>
        <w:rPr>
          <w:rFonts w:hint="eastAsia" w:ascii="宋体" w:hAnsi="宋体"/>
          <w:b/>
          <w:bCs/>
          <w:color w:val="000000"/>
          <w:sz w:val="24"/>
          <w:szCs w:val="21"/>
          <w:lang w:val="en-US" w:eastAsia="zh-CN"/>
        </w:rPr>
        <w:t>3</w:t>
      </w:r>
      <w:r>
        <w:rPr>
          <w:rFonts w:hint="eastAsia" w:ascii="宋体" w:hAnsi="宋体"/>
          <w:b/>
          <w:bCs/>
          <w:color w:val="000000"/>
          <w:sz w:val="24"/>
          <w:szCs w:val="21"/>
        </w:rPr>
        <w:t>.3 LED屏幕维护服务</w:t>
      </w:r>
    </w:p>
    <w:p w14:paraId="2C19C405">
      <w:pPr>
        <w:spacing w:line="440" w:lineRule="exact"/>
        <w:ind w:firstLine="480" w:firstLineChars="200"/>
        <w:rPr>
          <w:rFonts w:hint="eastAsia" w:ascii="宋体" w:hAnsi="宋体" w:eastAsia="宋体"/>
          <w:sz w:val="24"/>
        </w:rPr>
      </w:pPr>
      <w:r>
        <w:rPr>
          <w:rFonts w:hint="eastAsia" w:ascii="宋体" w:hAnsi="宋体" w:eastAsia="宋体"/>
          <w:sz w:val="24"/>
        </w:rPr>
        <w:t>LED屏幕日常巡检，LED屏幕日常运维（包含：显示不全、位置偏移，更改显示内容、区域，LED屏显服务器管理）。所设计到LED屏幕配件包括（整块单元板，长、短排线，电源线、网线，控制卡）</w:t>
      </w:r>
    </w:p>
    <w:p w14:paraId="10FC41A2">
      <w:pPr>
        <w:tabs>
          <w:tab w:val="left" w:pos="0"/>
          <w:tab w:val="left" w:pos="426"/>
          <w:tab w:val="left" w:pos="567"/>
        </w:tabs>
        <w:spacing w:line="440" w:lineRule="exact"/>
        <w:rPr>
          <w:rFonts w:ascii="宋体" w:hAnsi="宋体"/>
          <w:b/>
          <w:bCs/>
          <w:color w:val="000000"/>
          <w:sz w:val="24"/>
          <w:szCs w:val="21"/>
        </w:rPr>
      </w:pPr>
      <w:r>
        <w:rPr>
          <w:rFonts w:hint="eastAsia" w:ascii="宋体" w:hAnsi="宋体"/>
          <w:b/>
          <w:bCs/>
          <w:color w:val="000000"/>
          <w:sz w:val="24"/>
          <w:szCs w:val="21"/>
          <w:lang w:val="en-US" w:eastAsia="zh-CN"/>
        </w:rPr>
        <w:t>3</w:t>
      </w:r>
      <w:r>
        <w:rPr>
          <w:rFonts w:hint="eastAsia" w:ascii="宋体" w:hAnsi="宋体"/>
          <w:b/>
          <w:bCs/>
          <w:color w:val="000000"/>
          <w:sz w:val="24"/>
          <w:szCs w:val="21"/>
        </w:rPr>
        <w:t>.4 零星网络工程维护</w:t>
      </w:r>
    </w:p>
    <w:p w14:paraId="668D6574">
      <w:pPr>
        <w:pStyle w:val="22"/>
        <w:tabs>
          <w:tab w:val="left" w:pos="0"/>
          <w:tab w:val="left" w:pos="426"/>
          <w:tab w:val="left" w:pos="567"/>
        </w:tabs>
        <w:spacing w:line="440" w:lineRule="exact"/>
        <w:ind w:left="567" w:firstLine="0" w:firstLineChars="0"/>
        <w:jc w:val="left"/>
        <w:rPr>
          <w:rFonts w:ascii="宋体" w:hAnsi="宋体"/>
          <w:bCs/>
          <w:color w:val="000000"/>
          <w:sz w:val="24"/>
          <w:szCs w:val="21"/>
        </w:rPr>
      </w:pPr>
    </w:p>
    <w:p w14:paraId="6FD11F93">
      <w:pPr>
        <w:jc w:val="left"/>
        <w:rPr>
          <w:rFonts w:hint="eastAsia" w:ascii="宋体" w:hAnsi="宋体" w:eastAsia="宋体" w:cs="Times New Roman"/>
          <w:b/>
          <w:bCs/>
          <w:color w:val="000000"/>
          <w:kern w:val="2"/>
          <w:sz w:val="32"/>
          <w:szCs w:val="24"/>
          <w:lang w:val="en-US" w:eastAsia="zh-CN" w:bidi="ar-SA"/>
        </w:rPr>
      </w:pPr>
      <w:r>
        <w:rPr>
          <w:rFonts w:hint="eastAsia" w:ascii="宋体" w:hAnsi="宋体" w:eastAsia="宋体" w:cs="Times New Roman"/>
          <w:b/>
          <w:bCs/>
          <w:color w:val="000000"/>
          <w:kern w:val="2"/>
          <w:sz w:val="32"/>
          <w:szCs w:val="24"/>
          <w:lang w:val="en-US" w:eastAsia="zh-CN" w:bidi="ar-SA"/>
        </w:rPr>
        <w:t>4、服务保障</w:t>
      </w:r>
      <w:bookmarkEnd w:id="14"/>
      <w:bookmarkEnd w:id="15"/>
      <w:bookmarkEnd w:id="16"/>
    </w:p>
    <w:p w14:paraId="6CF46707">
      <w:pPr>
        <w:pStyle w:val="3"/>
        <w:jc w:val="both"/>
        <w:rPr>
          <w:rFonts w:hint="eastAsia" w:ascii="宋体" w:hAnsi="宋体" w:eastAsia="宋体" w:cs="Times New Roman"/>
          <w:b/>
          <w:bCs/>
          <w:color w:val="000000"/>
          <w:kern w:val="2"/>
          <w:sz w:val="24"/>
          <w:szCs w:val="21"/>
          <w:lang w:val="en-US" w:eastAsia="zh-CN" w:bidi="ar-SA"/>
        </w:rPr>
      </w:pPr>
      <w:bookmarkStart w:id="17" w:name="_Toc468090822"/>
      <w:bookmarkStart w:id="18" w:name="_Toc468091165"/>
      <w:bookmarkStart w:id="19" w:name="_Toc465413503"/>
      <w:r>
        <w:rPr>
          <w:rFonts w:hint="eastAsia" w:ascii="宋体" w:hAnsi="宋体" w:eastAsia="宋体" w:cs="Times New Roman"/>
          <w:b/>
          <w:bCs/>
          <w:color w:val="000000"/>
          <w:kern w:val="2"/>
          <w:sz w:val="24"/>
          <w:szCs w:val="21"/>
          <w:lang w:val="en-US" w:eastAsia="zh-CN" w:bidi="ar-SA"/>
        </w:rPr>
        <w:t>4.1 备件</w:t>
      </w:r>
      <w:bookmarkEnd w:id="17"/>
      <w:bookmarkEnd w:id="18"/>
      <w:bookmarkEnd w:id="19"/>
    </w:p>
    <w:p w14:paraId="0881A672">
      <w:pPr>
        <w:spacing w:line="440" w:lineRule="exact"/>
        <w:ind w:firstLine="420"/>
        <w:rPr>
          <w:rFonts w:ascii="宋体"/>
          <w:bCs/>
          <w:color w:val="000000"/>
          <w:sz w:val="24"/>
        </w:rPr>
      </w:pPr>
      <w:r>
        <w:rPr>
          <w:rFonts w:hint="eastAsia" w:ascii="宋体" w:hAnsi="宋体"/>
          <w:bCs/>
          <w:color w:val="000000"/>
          <w:sz w:val="24"/>
        </w:rPr>
        <w:t>服务商应设有备件库，配备相应机型及常用易损件，包括</w:t>
      </w:r>
      <w:r>
        <w:rPr>
          <w:rFonts w:ascii="宋体" w:hAnsi="宋体"/>
          <w:bCs/>
          <w:color w:val="000000"/>
          <w:sz w:val="24"/>
        </w:rPr>
        <w:t>CPU</w:t>
      </w:r>
      <w:r>
        <w:rPr>
          <w:rFonts w:hint="eastAsia" w:ascii="宋体" w:hAnsi="宋体"/>
          <w:bCs/>
          <w:color w:val="000000"/>
          <w:sz w:val="24"/>
        </w:rPr>
        <w:t>、电源、硬盘、网卡、风扇等。当设备故障时如门急诊不能在30分钟内排除故障、其他部门不能在60分钟内排除故障，需立即使用备用机，将故障机器带回维修，有效保证医疗机构各部门的正常工作。</w:t>
      </w:r>
    </w:p>
    <w:p w14:paraId="5A7312A8">
      <w:pPr>
        <w:pStyle w:val="22"/>
        <w:tabs>
          <w:tab w:val="left" w:pos="0"/>
          <w:tab w:val="left" w:pos="426"/>
          <w:tab w:val="left" w:pos="567"/>
        </w:tabs>
        <w:spacing w:line="440" w:lineRule="exact"/>
        <w:ind w:firstLine="0" w:firstLineChars="0"/>
        <w:rPr>
          <w:rFonts w:hint="eastAsia" w:ascii="宋体" w:hAnsi="宋体" w:eastAsia="宋体" w:cs="Times New Roman"/>
          <w:b/>
          <w:bCs/>
          <w:color w:val="000000"/>
          <w:sz w:val="24"/>
          <w:szCs w:val="21"/>
        </w:rPr>
      </w:pPr>
      <w:r>
        <w:rPr>
          <w:rFonts w:hint="eastAsia" w:ascii="宋体" w:hAnsi="宋体" w:eastAsia="宋体" w:cs="Times New Roman"/>
          <w:b/>
          <w:bCs/>
          <w:color w:val="000000"/>
          <w:sz w:val="24"/>
          <w:szCs w:val="21"/>
          <w:lang w:val="en-US" w:eastAsia="zh-CN"/>
        </w:rPr>
        <w:t>4</w:t>
      </w:r>
      <w:r>
        <w:rPr>
          <w:rFonts w:hint="eastAsia" w:ascii="宋体" w:hAnsi="宋体" w:eastAsia="宋体" w:cs="Times New Roman"/>
          <w:b/>
          <w:bCs/>
          <w:color w:val="000000"/>
          <w:sz w:val="24"/>
          <w:szCs w:val="21"/>
        </w:rPr>
        <w:t>.</w:t>
      </w:r>
      <w:r>
        <w:rPr>
          <w:rFonts w:hint="eastAsia" w:ascii="宋体" w:hAnsi="宋体" w:eastAsia="宋体" w:cs="Times New Roman"/>
          <w:b/>
          <w:bCs/>
          <w:color w:val="000000"/>
          <w:sz w:val="24"/>
          <w:szCs w:val="21"/>
          <w:lang w:val="en-US" w:eastAsia="zh-CN"/>
        </w:rPr>
        <w:t>2</w:t>
      </w:r>
      <w:r>
        <w:rPr>
          <w:rFonts w:hint="eastAsia" w:ascii="宋体" w:hAnsi="宋体" w:eastAsia="宋体" w:cs="Times New Roman"/>
          <w:b/>
          <w:bCs/>
          <w:color w:val="000000"/>
          <w:sz w:val="24"/>
          <w:szCs w:val="21"/>
        </w:rPr>
        <w:t>人员要求</w:t>
      </w:r>
    </w:p>
    <w:p w14:paraId="6F137998">
      <w:pPr>
        <w:spacing w:line="440" w:lineRule="exact"/>
        <w:ind w:firstLine="540" w:firstLineChars="225"/>
        <w:rPr>
          <w:rFonts w:ascii="宋体"/>
          <w:sz w:val="24"/>
        </w:rPr>
      </w:pPr>
      <w:r>
        <w:rPr>
          <w:rFonts w:hint="eastAsia" w:ascii="宋体" w:hAnsi="宋体"/>
          <w:sz w:val="24"/>
        </w:rPr>
        <w:t>根据</w:t>
      </w:r>
      <w:r>
        <w:rPr>
          <w:rFonts w:hint="eastAsia"/>
          <w:color w:val="000000"/>
        </w:rPr>
        <w:t>市</w:t>
      </w:r>
      <w:r>
        <w:rPr>
          <w:rFonts w:hint="eastAsia" w:ascii="宋体" w:hAnsi="宋体"/>
          <w:sz w:val="24"/>
        </w:rPr>
        <w:t>中医院实际工作量</w:t>
      </w:r>
      <w:r>
        <w:rPr>
          <w:rFonts w:ascii="宋体" w:hAnsi="宋体"/>
          <w:sz w:val="24"/>
        </w:rPr>
        <w:t xml:space="preserve">, </w:t>
      </w:r>
      <w:r>
        <w:rPr>
          <w:rFonts w:hint="eastAsia" w:ascii="宋体" w:hAnsi="宋体"/>
          <w:sz w:val="24"/>
        </w:rPr>
        <w:t>服务商人员负责计算机、打印机设备维修巡检。人员需具备计算机相关专业大专以上学历或计算机、打印机设备的维修资格证。须遵守各分支机构劳动纪律，遵循分支机构相关工作流程，节假日正常提供服务。</w:t>
      </w:r>
    </w:p>
    <w:p w14:paraId="69AA0356">
      <w:pPr>
        <w:pStyle w:val="3"/>
        <w:spacing w:before="0" w:beforeLines="0" w:after="0" w:afterLines="0" w:line="440" w:lineRule="exact"/>
        <w:jc w:val="both"/>
        <w:rPr>
          <w:rFonts w:hint="eastAsia" w:ascii="宋体" w:hAnsi="宋体" w:eastAsia="宋体" w:cs="黑体"/>
          <w:b/>
          <w:bCs/>
          <w:color w:val="000000"/>
          <w:kern w:val="2"/>
          <w:sz w:val="24"/>
          <w:szCs w:val="21"/>
          <w:lang w:val="en-US" w:eastAsia="zh-CN" w:bidi="ar-SA"/>
        </w:rPr>
      </w:pPr>
      <w:bookmarkStart w:id="20" w:name="_Toc468090824"/>
      <w:bookmarkStart w:id="21" w:name="_Toc465413505"/>
      <w:bookmarkStart w:id="22" w:name="_Toc468091167"/>
      <w:r>
        <w:rPr>
          <w:rFonts w:hint="eastAsia" w:ascii="宋体" w:hAnsi="宋体" w:eastAsia="宋体" w:cs="黑体"/>
          <w:b/>
          <w:bCs/>
          <w:color w:val="000000"/>
          <w:kern w:val="2"/>
          <w:sz w:val="24"/>
          <w:szCs w:val="21"/>
          <w:lang w:val="en-US" w:eastAsia="zh-CN" w:bidi="ar-SA"/>
        </w:rPr>
        <w:t>4.3信息安全</w:t>
      </w:r>
      <w:bookmarkEnd w:id="20"/>
      <w:bookmarkEnd w:id="21"/>
      <w:bookmarkEnd w:id="22"/>
    </w:p>
    <w:p w14:paraId="692593EB">
      <w:pPr>
        <w:spacing w:line="440" w:lineRule="exact"/>
        <w:ind w:firstLine="480" w:firstLineChars="200"/>
        <w:rPr>
          <w:rFonts w:ascii="宋体"/>
          <w:color w:val="000000"/>
          <w:sz w:val="24"/>
        </w:rPr>
      </w:pPr>
      <w:r>
        <w:rPr>
          <w:rFonts w:hint="eastAsia" w:ascii="宋体" w:hAnsi="宋体"/>
          <w:color w:val="000000"/>
          <w:sz w:val="24"/>
        </w:rPr>
        <w:t>服务商工作人员在维护之前需得到</w:t>
      </w:r>
      <w:r>
        <w:rPr>
          <w:rFonts w:hint="eastAsia"/>
          <w:color w:val="000000"/>
        </w:rPr>
        <w:t>市</w:t>
      </w:r>
      <w:r>
        <w:rPr>
          <w:rFonts w:hint="eastAsia" w:ascii="宋体" w:hAnsi="宋体"/>
          <w:color w:val="000000"/>
          <w:sz w:val="24"/>
        </w:rPr>
        <w:t>中医院部门相关负责人的授权许可方可进行。如需要使用移动介质，则必须经过信息科人员检查，确认移动介质无毒后使用。</w:t>
      </w:r>
    </w:p>
    <w:p w14:paraId="4AA280CC">
      <w:pPr>
        <w:spacing w:line="440" w:lineRule="exact"/>
        <w:ind w:firstLine="540" w:firstLineChars="225"/>
        <w:rPr>
          <w:rFonts w:ascii="宋体"/>
          <w:color w:val="000000"/>
          <w:sz w:val="24"/>
        </w:rPr>
      </w:pPr>
      <w:r>
        <w:rPr>
          <w:rFonts w:hint="eastAsia" w:ascii="宋体" w:hAnsi="宋体"/>
          <w:color w:val="000000"/>
          <w:sz w:val="24"/>
        </w:rPr>
        <w:t>维护操作需事先做好操作方案并制定应急方案，同时严格掌握控制操作时间。所有操作记录须存档并长期保留。</w:t>
      </w:r>
    </w:p>
    <w:p w14:paraId="38A22A47">
      <w:pPr>
        <w:pStyle w:val="3"/>
        <w:spacing w:before="0" w:beforeLines="0" w:after="0" w:afterLines="0" w:line="440" w:lineRule="exact"/>
        <w:jc w:val="both"/>
        <w:rPr>
          <w:rFonts w:hint="eastAsia" w:ascii="宋体" w:hAnsi="宋体" w:eastAsia="宋体" w:cs="黑体"/>
          <w:b/>
          <w:bCs/>
          <w:color w:val="000000"/>
          <w:kern w:val="2"/>
          <w:sz w:val="24"/>
          <w:szCs w:val="21"/>
          <w:lang w:val="en-US" w:eastAsia="zh-CN" w:bidi="ar-SA"/>
        </w:rPr>
      </w:pPr>
      <w:bookmarkStart w:id="23" w:name="_Toc468091168"/>
      <w:bookmarkStart w:id="24" w:name="_Toc468090825"/>
      <w:bookmarkStart w:id="25" w:name="_Toc465413506"/>
      <w:r>
        <w:rPr>
          <w:rFonts w:hint="eastAsia" w:ascii="宋体" w:hAnsi="宋体" w:eastAsia="宋体" w:cs="黑体"/>
          <w:b/>
          <w:bCs/>
          <w:color w:val="000000"/>
          <w:kern w:val="2"/>
          <w:sz w:val="24"/>
          <w:szCs w:val="21"/>
          <w:lang w:val="en-US" w:eastAsia="zh-CN" w:bidi="ar-SA"/>
        </w:rPr>
        <w:t>4.3 定期巡检</w:t>
      </w:r>
      <w:bookmarkEnd w:id="23"/>
      <w:bookmarkEnd w:id="24"/>
      <w:bookmarkEnd w:id="25"/>
    </w:p>
    <w:p w14:paraId="0EF329BD">
      <w:pPr>
        <w:spacing w:line="440" w:lineRule="exact"/>
        <w:ind w:firstLine="420"/>
        <w:rPr>
          <w:rFonts w:ascii="宋体"/>
          <w:color w:val="000000"/>
          <w:sz w:val="24"/>
        </w:rPr>
      </w:pPr>
      <w:r>
        <w:rPr>
          <w:rFonts w:hint="eastAsia" w:ascii="宋体" w:hAnsi="宋体"/>
          <w:color w:val="000000"/>
          <w:sz w:val="24"/>
        </w:rPr>
        <w:t>服务商须每月对</w:t>
      </w:r>
      <w:r>
        <w:rPr>
          <w:rFonts w:hint="eastAsia"/>
          <w:color w:val="000000"/>
        </w:rPr>
        <w:t>市</w:t>
      </w:r>
      <w:r>
        <w:rPr>
          <w:rFonts w:hint="eastAsia" w:ascii="宋体" w:hAnsi="宋体"/>
          <w:color w:val="000000"/>
          <w:sz w:val="24"/>
        </w:rPr>
        <w:t>中医院各类设备进行巡检并提交巡检报告，及时发现并排除故障隐患，有效保证中医院系统的正常运行，有利于提高系统维护的效率。</w:t>
      </w:r>
    </w:p>
    <w:p w14:paraId="31990091">
      <w:pPr>
        <w:pStyle w:val="3"/>
        <w:spacing w:before="0" w:beforeLines="0" w:after="0" w:afterLines="0" w:line="440" w:lineRule="exact"/>
        <w:jc w:val="both"/>
        <w:rPr>
          <w:rFonts w:hint="eastAsia" w:ascii="宋体" w:hAnsi="宋体" w:eastAsia="宋体" w:cs="黑体"/>
          <w:b/>
          <w:bCs/>
          <w:color w:val="000000"/>
          <w:kern w:val="2"/>
          <w:sz w:val="24"/>
          <w:szCs w:val="21"/>
          <w:lang w:val="en-US" w:eastAsia="zh-CN" w:bidi="ar-SA"/>
        </w:rPr>
      </w:pPr>
      <w:bookmarkStart w:id="26" w:name="_Toc465413507"/>
      <w:bookmarkStart w:id="27" w:name="_Toc468091169"/>
      <w:bookmarkStart w:id="28" w:name="_Toc468090826"/>
      <w:r>
        <w:rPr>
          <w:rFonts w:hint="eastAsia" w:ascii="宋体" w:hAnsi="宋体" w:eastAsia="宋体" w:cs="黑体"/>
          <w:b/>
          <w:bCs/>
          <w:color w:val="000000"/>
          <w:kern w:val="2"/>
          <w:sz w:val="24"/>
          <w:szCs w:val="21"/>
          <w:lang w:val="en-US" w:eastAsia="zh-CN" w:bidi="ar-SA"/>
        </w:rPr>
        <w:t>4.4 服务监督</w:t>
      </w:r>
      <w:bookmarkEnd w:id="26"/>
      <w:bookmarkEnd w:id="27"/>
      <w:bookmarkEnd w:id="28"/>
    </w:p>
    <w:p w14:paraId="62334886">
      <w:pPr>
        <w:spacing w:line="440" w:lineRule="exact"/>
        <w:ind w:firstLine="540" w:firstLineChars="225"/>
        <w:rPr>
          <w:rFonts w:ascii="宋体"/>
          <w:color w:val="000000"/>
          <w:sz w:val="24"/>
        </w:rPr>
      </w:pPr>
      <w:r>
        <w:rPr>
          <w:rFonts w:hint="eastAsia" w:ascii="宋体" w:hAnsi="宋体"/>
          <w:color w:val="000000"/>
          <w:sz w:val="24"/>
        </w:rPr>
        <w:t>签订正式合同后，信息科会定期对服务商所供应配件进行抽查，如发现有配件质量不合格、未达到招标参数要求情况，信息科将立即对服务商提出警告，警告达</w:t>
      </w:r>
      <w:r>
        <w:rPr>
          <w:rFonts w:hint="eastAsia" w:ascii="宋体" w:hAnsi="宋体"/>
          <w:color w:val="000000"/>
          <w:sz w:val="24"/>
          <w:lang w:val="en-US" w:eastAsia="zh-CN"/>
        </w:rPr>
        <w:t>3</w:t>
      </w:r>
      <w:r>
        <w:rPr>
          <w:rFonts w:hint="eastAsia" w:ascii="宋体" w:hAnsi="宋体"/>
          <w:color w:val="000000"/>
          <w:sz w:val="24"/>
        </w:rPr>
        <w:t>次者，中医院有权与其终止合同且在当</w:t>
      </w:r>
      <w:r>
        <w:rPr>
          <w:rFonts w:hint="eastAsia" w:ascii="宋体" w:hAnsi="宋体"/>
          <w:color w:val="000000"/>
          <w:sz w:val="24"/>
          <w:lang w:val="en-US" w:eastAsia="zh-CN"/>
        </w:rPr>
        <w:t>年度</w:t>
      </w:r>
      <w:r>
        <w:rPr>
          <w:rFonts w:hint="eastAsia" w:ascii="宋体" w:hAnsi="宋体"/>
          <w:color w:val="000000"/>
          <w:sz w:val="24"/>
        </w:rPr>
        <w:t>结算时扣除</w:t>
      </w:r>
      <w:r>
        <w:rPr>
          <w:rFonts w:hint="eastAsia" w:ascii="宋体" w:hAnsi="宋体"/>
          <w:color w:val="000000"/>
          <w:sz w:val="24"/>
          <w:lang w:val="en-US" w:eastAsia="zh-CN"/>
        </w:rPr>
        <w:t>相应费用</w:t>
      </w:r>
      <w:r>
        <w:rPr>
          <w:rFonts w:hint="eastAsia" w:ascii="宋体" w:hAnsi="宋体"/>
          <w:color w:val="000000"/>
          <w:sz w:val="24"/>
        </w:rPr>
        <w:t>。</w:t>
      </w:r>
    </w:p>
    <w:p w14:paraId="4574B144">
      <w:pPr>
        <w:tabs>
          <w:tab w:val="left" w:pos="0"/>
          <w:tab w:val="left" w:pos="426"/>
          <w:tab w:val="left" w:pos="567"/>
        </w:tabs>
        <w:spacing w:line="440" w:lineRule="exact"/>
        <w:rPr>
          <w:rFonts w:hint="eastAsia" w:ascii="宋体" w:hAnsi="宋体" w:eastAsia="宋体"/>
          <w:b/>
          <w:bCs/>
          <w:color w:val="000000"/>
          <w:sz w:val="24"/>
          <w:szCs w:val="21"/>
          <w:lang w:val="en-US" w:eastAsia="zh-CN"/>
        </w:rPr>
      </w:pPr>
      <w:bookmarkStart w:id="29" w:name="_Toc468091170"/>
      <w:bookmarkStart w:id="30" w:name="_Toc465413508"/>
      <w:bookmarkStart w:id="31" w:name="_Toc468090827"/>
      <w:r>
        <w:rPr>
          <w:rFonts w:hint="eastAsia" w:ascii="宋体" w:hAnsi="宋体" w:eastAsia="宋体"/>
          <w:b/>
          <w:bCs/>
          <w:color w:val="000000"/>
          <w:sz w:val="24"/>
          <w:szCs w:val="21"/>
          <w:lang w:val="en-US" w:eastAsia="zh-CN"/>
        </w:rPr>
        <w:t>5、注意事项</w:t>
      </w:r>
      <w:bookmarkEnd w:id="29"/>
      <w:bookmarkEnd w:id="30"/>
      <w:bookmarkEnd w:id="31"/>
    </w:p>
    <w:p w14:paraId="6B35AF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ascii="宋体" w:hAnsi="宋体"/>
          <w:color w:val="000000"/>
          <w:sz w:val="24"/>
        </w:rPr>
        <w:t>对于中医院的所有计算机与打印机等设备，在保修期内的设备服务商需提供免费的日常维护保养工作，如出现硬件故障需代为联系指定品牌售后进行维修。</w:t>
      </w:r>
    </w:p>
    <w:p w14:paraId="4133FF19">
      <w:pPr>
        <w:pStyle w:val="5"/>
        <w:rPr>
          <w:rFonts w:hint="eastAsia"/>
          <w:lang w:val="en-US" w:eastAsia="zh-CN"/>
        </w:rPr>
      </w:pPr>
    </w:p>
    <w:p w14:paraId="0001E5DE">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bookmarkEnd w:id="0"/>
    <w:p w14:paraId="454411B9">
      <w:pPr>
        <w:spacing w:line="460" w:lineRule="exact"/>
        <w:ind w:firstLine="600"/>
        <w:rPr>
          <w:rFonts w:hint="default" w:ascii="宋体" w:hAnsi="宋体" w:eastAsia="宋体" w:cs="宋体"/>
          <w:sz w:val="24"/>
          <w:lang w:val="zh-CN" w:eastAsia="zh-CN"/>
        </w:rPr>
      </w:pPr>
      <w:bookmarkStart w:id="32" w:name="OLE_LINK1"/>
      <w:r>
        <w:rPr>
          <w:rFonts w:hint="default" w:ascii="宋体" w:hAnsi="宋体" w:eastAsia="宋体" w:cs="宋体"/>
          <w:sz w:val="24"/>
          <w:lang w:val="zh-CN" w:eastAsia="zh-CN"/>
        </w:rPr>
        <w:t>1、</w:t>
      </w:r>
      <w:bookmarkEnd w:id="32"/>
      <w:r>
        <w:rPr>
          <w:rFonts w:hint="eastAsia" w:ascii="宋体" w:hAnsi="宋体" w:cs="宋体"/>
          <w:sz w:val="24"/>
          <w:lang w:val="en-US" w:eastAsia="zh-CN"/>
        </w:rPr>
        <w:t>进场时间</w:t>
      </w:r>
      <w:r>
        <w:rPr>
          <w:rFonts w:hint="default" w:ascii="宋体" w:hAnsi="宋体" w:eastAsia="宋体" w:cs="宋体"/>
          <w:sz w:val="24"/>
          <w:lang w:val="zh-CN" w:eastAsia="zh-CN"/>
        </w:rPr>
        <w:t>：</w:t>
      </w:r>
      <w:r>
        <w:rPr>
          <w:rFonts w:hint="eastAsia" w:ascii="新宋体" w:hAnsi="新宋体" w:eastAsia="新宋体"/>
          <w:sz w:val="24"/>
          <w:lang w:val="en-US" w:eastAsia="zh-CN"/>
        </w:rPr>
        <w:t>接采购人通知</w:t>
      </w:r>
      <w:r>
        <w:rPr>
          <w:rFonts w:hint="eastAsia" w:ascii="新宋体" w:hAnsi="新宋体" w:eastAsia="新宋体"/>
          <w:sz w:val="24"/>
        </w:rPr>
        <w:t>起</w:t>
      </w:r>
      <w:r>
        <w:rPr>
          <w:rFonts w:ascii="新宋体" w:hAnsi="新宋体" w:eastAsia="新宋体"/>
          <w:sz w:val="24"/>
        </w:rPr>
        <w:t>5</w:t>
      </w:r>
      <w:r>
        <w:rPr>
          <w:rFonts w:hint="eastAsia" w:ascii="新宋体" w:hAnsi="新宋体" w:eastAsia="新宋体"/>
          <w:sz w:val="24"/>
        </w:rPr>
        <w:t>个工作日内完成新老服务公司的交接工作，保证相关服务工作正常有序进行。</w:t>
      </w:r>
    </w:p>
    <w:p w14:paraId="4B419257">
      <w:pPr>
        <w:spacing w:line="460" w:lineRule="exact"/>
        <w:ind w:firstLine="600"/>
        <w:rPr>
          <w:rFonts w:hint="default" w:ascii="宋体" w:hAnsi="宋体" w:eastAsia="宋体" w:cs="宋体"/>
          <w:sz w:val="24"/>
          <w:lang w:val="en-US" w:eastAsia="zh-CN"/>
        </w:rPr>
      </w:pPr>
      <w:r>
        <w:rPr>
          <w:rFonts w:hint="default" w:ascii="宋体" w:hAnsi="宋体" w:eastAsia="宋体" w:cs="宋体"/>
          <w:sz w:val="24"/>
          <w:lang w:val="en-US" w:eastAsia="zh-CN"/>
        </w:rPr>
        <w:t>2、</w:t>
      </w:r>
      <w:r>
        <w:rPr>
          <w:rFonts w:hint="eastAsia" w:ascii="宋体" w:hAnsi="宋体" w:eastAsia="宋体" w:cs="宋体"/>
          <w:sz w:val="24"/>
          <w:lang w:val="zh-CN" w:eastAsia="zh-CN"/>
        </w:rPr>
        <w:t>服务地点：马鞍山市</w:t>
      </w:r>
      <w:r>
        <w:rPr>
          <w:rFonts w:hint="eastAsia" w:ascii="宋体" w:hAnsi="宋体" w:eastAsia="宋体" w:cs="宋体"/>
          <w:sz w:val="24"/>
          <w:lang w:val="en-US" w:eastAsia="zh-CN"/>
        </w:rPr>
        <w:t>中医院</w:t>
      </w:r>
      <w:r>
        <w:rPr>
          <w:rFonts w:hint="eastAsia" w:ascii="宋体" w:hAnsi="宋体" w:eastAsia="宋体" w:cs="宋体"/>
          <w:sz w:val="24"/>
          <w:lang w:val="zh-CN" w:eastAsia="zh-CN"/>
        </w:rPr>
        <w:t>（招标人指定地点）。</w:t>
      </w:r>
    </w:p>
    <w:p w14:paraId="07234111">
      <w:pPr>
        <w:widowControl/>
        <w:adjustRightInd w:val="0"/>
        <w:snapToGrid w:val="0"/>
        <w:spacing w:line="440" w:lineRule="exact"/>
        <w:ind w:firstLine="480" w:firstLineChars="200"/>
        <w:jc w:val="left"/>
        <w:rPr>
          <w:rFonts w:hint="eastAsia" w:ascii="宋体" w:hAnsi="宋体" w:cs="Times New Roman"/>
          <w:bCs/>
          <w:sz w:val="24"/>
        </w:rPr>
      </w:pPr>
      <w:r>
        <w:rPr>
          <w:rFonts w:hint="default" w:ascii="宋体" w:hAnsi="宋体" w:eastAsia="宋体" w:cs="宋体"/>
          <w:sz w:val="24"/>
          <w:lang w:val="zh-CN" w:eastAsia="zh-CN"/>
        </w:rPr>
        <w:t>3</w:t>
      </w:r>
      <w:r>
        <w:rPr>
          <w:rFonts w:hint="eastAsia" w:ascii="宋体" w:hAnsi="宋体" w:eastAsia="宋体" w:cs="宋体"/>
          <w:sz w:val="24"/>
          <w:lang w:val="zh-CN" w:eastAsia="zh-CN"/>
        </w:rPr>
        <w:t>、</w:t>
      </w:r>
      <w:r>
        <w:rPr>
          <w:rFonts w:hint="eastAsia" w:ascii="宋体" w:hAnsi="宋体" w:eastAsia="宋体" w:cs="宋体"/>
          <w:sz w:val="24"/>
          <w:lang w:val="en-US" w:eastAsia="zh-CN"/>
        </w:rPr>
        <w:t>服务期限：</w:t>
      </w:r>
      <w:r>
        <w:rPr>
          <w:rFonts w:hint="eastAsia" w:ascii="宋体" w:hAnsi="宋体" w:cs="Times New Roman"/>
          <w:bCs/>
          <w:sz w:val="24"/>
        </w:rPr>
        <w:t>合同签订之日起不超过3年。合同一年一签：采购人对成交供应商服务满意，在合同内容不变情况下，可以继续与其签订下一个服务周期的服务合同；一个服务周期结束后，采购人也可以根据实际情况拒绝与成交供应商签订下一个服务周期的服务合同，重新采购。服务期限内由招标人对其服务质量进行考核（考核办法由招标人另定），考核不合格，招标人有权解除合同。</w:t>
      </w:r>
    </w:p>
    <w:p w14:paraId="02E4B62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sz w:val="24"/>
        </w:rPr>
      </w:pPr>
      <w:r>
        <w:rPr>
          <w:rFonts w:hint="eastAsia" w:ascii="宋体" w:hAnsi="宋体" w:eastAsia="宋体" w:cs="宋体"/>
          <w:sz w:val="24"/>
          <w:lang w:val="en-US" w:eastAsia="zh-CN"/>
        </w:rPr>
        <w:t>4、</w:t>
      </w:r>
      <w:r>
        <w:rPr>
          <w:rFonts w:hint="eastAsia" w:ascii="宋体" w:hAnsi="宋体" w:eastAsia="宋体" w:cs="宋体"/>
          <w:sz w:val="24"/>
          <w:lang w:val="zh-CN" w:eastAsia="zh-CN"/>
        </w:rPr>
        <w:t>付款方式：</w:t>
      </w:r>
      <w:r>
        <w:rPr>
          <w:rFonts w:hint="eastAsia" w:ascii="宋体" w:hAnsi="宋体"/>
          <w:sz w:val="24"/>
        </w:rPr>
        <w:t>合同款实行</w:t>
      </w:r>
      <w:r>
        <w:rPr>
          <w:rFonts w:hint="eastAsia" w:ascii="宋体" w:hAnsi="宋体"/>
          <w:sz w:val="24"/>
          <w:lang w:val="en-US" w:eastAsia="zh-CN"/>
        </w:rPr>
        <w:t>每年结算</w:t>
      </w:r>
      <w:r>
        <w:rPr>
          <w:rFonts w:hint="eastAsia" w:ascii="宋体" w:hAnsi="宋体"/>
          <w:sz w:val="24"/>
        </w:rPr>
        <w:t>，在投标人切实履行了全部合同义务后，中标人需按招标人要求的时间、格式提供账目明细及汇总清单，经招标人确认账目无异议后，中标人将正规发票原件交于招标人，经招标人审核同意后于</w:t>
      </w:r>
      <w:r>
        <w:rPr>
          <w:rFonts w:ascii="宋体" w:hAnsi="宋体"/>
          <w:sz w:val="24"/>
        </w:rPr>
        <w:t>30</w:t>
      </w:r>
      <w:r>
        <w:rPr>
          <w:rFonts w:hint="eastAsia" w:ascii="宋体" w:hAnsi="宋体"/>
          <w:sz w:val="24"/>
        </w:rPr>
        <w:t>日内支付合同款。如投标人未能按要求提供清单导致汇款延期由投标人自行承担后果。</w:t>
      </w:r>
    </w:p>
    <w:p w14:paraId="3478F05F">
      <w:pPr>
        <w:spacing w:line="380" w:lineRule="exact"/>
        <w:rPr>
          <w:rFonts w:hint="default" w:ascii="宋体" w:eastAsia="宋体"/>
          <w:bCs/>
          <w:sz w:val="24"/>
          <w:lang w:val="en-US" w:eastAsia="zh-CN"/>
        </w:rPr>
      </w:pPr>
      <w:r>
        <w:rPr>
          <w:rFonts w:hint="eastAsia" w:ascii="宋体" w:hAnsi="宋体" w:eastAsia="宋体" w:cs="宋体"/>
          <w:sz w:val="24"/>
          <w:lang w:val="en-US" w:eastAsia="zh-CN"/>
        </w:rPr>
        <w:t>5、</w:t>
      </w:r>
      <w:r>
        <w:rPr>
          <w:rFonts w:hint="eastAsia" w:ascii="宋体" w:hAnsi="宋体"/>
          <w:sz w:val="24"/>
        </w:rPr>
        <w:t>质保期限</w:t>
      </w:r>
      <w:r>
        <w:rPr>
          <w:rFonts w:hint="eastAsia" w:ascii="宋体" w:hAnsi="宋体"/>
          <w:sz w:val="24"/>
          <w:lang w:eastAsia="zh-CN"/>
        </w:rPr>
        <w:t>：</w:t>
      </w:r>
      <w:r>
        <w:rPr>
          <w:rFonts w:hint="eastAsia" w:ascii="宋体" w:hAnsi="宋体"/>
          <w:bCs/>
          <w:sz w:val="24"/>
        </w:rPr>
        <w:t>所有</w:t>
      </w:r>
      <w:r>
        <w:rPr>
          <w:rFonts w:hint="eastAsia" w:ascii="宋体" w:hAnsi="宋体"/>
          <w:bCs/>
          <w:sz w:val="24"/>
          <w:lang w:val="en-US" w:eastAsia="zh-CN"/>
        </w:rPr>
        <w:t>使用的配件和耗材以其生产厂家实际提供的质保期限为准，具体维保服务由中标方提供。工程类维修服务维保期限一年。</w:t>
      </w:r>
    </w:p>
    <w:p w14:paraId="27529E36">
      <w:pPr>
        <w:spacing w:line="460" w:lineRule="exact"/>
        <w:ind w:firstLine="600"/>
        <w:rPr>
          <w:rFonts w:hint="eastAsia" w:ascii="宋体" w:hAnsi="宋体" w:eastAsia="宋体" w:cs="宋体"/>
          <w:sz w:val="24"/>
          <w:lang w:val="en-US" w:eastAsia="zh-CN"/>
        </w:rPr>
      </w:pPr>
    </w:p>
    <w:p w14:paraId="274A329F">
      <w:pPr>
        <w:spacing w:line="460" w:lineRule="exact"/>
        <w:ind w:firstLine="600"/>
        <w:rPr>
          <w:rFonts w:hint="eastAsia" w:ascii="宋体" w:hAnsi="宋体" w:eastAsia="宋体" w:cs="宋体"/>
          <w:sz w:val="24"/>
          <w:lang w:val="zh-CN" w:eastAsia="zh-CN"/>
        </w:rPr>
      </w:pPr>
      <w:r>
        <w:rPr>
          <w:rFonts w:hint="eastAsia" w:ascii="宋体" w:hAnsi="宋体" w:cs="宋体"/>
          <w:sz w:val="24"/>
          <w:lang w:val="en-US" w:eastAsia="zh-CN"/>
        </w:rPr>
        <w:t>6、</w:t>
      </w:r>
      <w:r>
        <w:rPr>
          <w:rFonts w:hint="eastAsia" w:ascii="宋体" w:hAnsi="宋体" w:eastAsia="宋体" w:cs="宋体"/>
          <w:sz w:val="24"/>
          <w:lang w:val="zh-CN" w:eastAsia="zh-CN"/>
        </w:rPr>
        <w:t>提供服务按照以下原则执行：有国家标准的执行国家标准；无国家标准的执行行业标准；无行业标准的执行地方标准；无地方标准的执行企业标准。</w:t>
      </w:r>
    </w:p>
    <w:p w14:paraId="5972FDF9">
      <w:pPr>
        <w:spacing w:line="460" w:lineRule="exact"/>
        <w:ind w:firstLine="600"/>
        <w:rPr>
          <w:rFonts w:hint="eastAsia" w:ascii="宋体" w:hAnsi="宋体" w:eastAsia="宋体" w:cs="宋体"/>
          <w:sz w:val="24"/>
          <w:lang w:val="zh-CN"/>
        </w:rPr>
      </w:pPr>
      <w:r>
        <w:rPr>
          <w:rFonts w:hint="eastAsia" w:ascii="宋体" w:hAnsi="宋体" w:cs="宋体"/>
          <w:sz w:val="24"/>
          <w:lang w:val="en-US" w:eastAsia="zh-CN"/>
        </w:rPr>
        <w:t>7</w:t>
      </w:r>
      <w:r>
        <w:rPr>
          <w:rFonts w:hint="default" w:ascii="宋体" w:hAnsi="宋体" w:eastAsia="宋体" w:cs="宋体"/>
          <w:sz w:val="24"/>
          <w:lang w:val="zh-CN" w:eastAsia="zh-CN"/>
        </w:rPr>
        <w:t>、</w:t>
      </w:r>
      <w:r>
        <w:rPr>
          <w:rFonts w:hint="eastAsia" w:ascii="宋体" w:hAnsi="宋体" w:eastAsia="宋体" w:cs="宋体"/>
          <w:sz w:val="24"/>
          <w:lang w:val="zh-CN"/>
        </w:rPr>
        <w:t>服务规范：有国家标准的执行国家标准；无国家标准的执行行业标准；无行业标准的执行地方标准；无地方标准的执行企业标准。</w:t>
      </w:r>
    </w:p>
    <w:p w14:paraId="0C4D1191">
      <w:pPr>
        <w:spacing w:line="460" w:lineRule="exact"/>
        <w:ind w:firstLine="600"/>
        <w:rPr>
          <w:rFonts w:hint="eastAsia" w:ascii="宋体" w:hAnsi="宋体" w:eastAsia="宋体" w:cs="宋体"/>
          <w:sz w:val="24"/>
          <w:lang w:val="zh-CN" w:eastAsia="zh-CN"/>
        </w:rPr>
      </w:pPr>
      <w:r>
        <w:rPr>
          <w:rFonts w:hint="eastAsia" w:ascii="宋体" w:hAnsi="宋体" w:cs="宋体"/>
          <w:sz w:val="24"/>
          <w:lang w:val="en-US" w:eastAsia="zh-CN"/>
        </w:rPr>
        <w:t>8</w:t>
      </w:r>
      <w:r>
        <w:rPr>
          <w:rFonts w:hint="default" w:ascii="宋体" w:hAnsi="宋体" w:eastAsia="宋体" w:cs="宋体"/>
          <w:sz w:val="24"/>
          <w:lang w:val="zh-CN" w:eastAsia="zh-CN"/>
        </w:rPr>
        <w:t>、</w:t>
      </w:r>
      <w:r>
        <w:rPr>
          <w:rFonts w:hint="eastAsia" w:ascii="宋体" w:hAnsi="宋体" w:eastAsia="宋体" w:cs="宋体"/>
          <w:sz w:val="24"/>
          <w:lang w:val="zh-CN" w:eastAsia="zh-CN"/>
        </w:rPr>
        <w:t>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71C201CC">
      <w:pPr>
        <w:spacing w:line="460" w:lineRule="exact"/>
        <w:ind w:firstLine="600"/>
        <w:rPr>
          <w:rFonts w:hint="eastAsia" w:ascii="宋体" w:hAnsi="宋体" w:eastAsia="宋体" w:cs="宋体"/>
          <w:sz w:val="24"/>
          <w:lang w:val="zh-CN" w:eastAsia="zh-CN"/>
        </w:rPr>
      </w:pPr>
      <w:r>
        <w:rPr>
          <w:rFonts w:hint="eastAsia" w:ascii="宋体" w:hAnsi="宋体" w:cs="宋体"/>
          <w:sz w:val="24"/>
          <w:lang w:val="en-US" w:eastAsia="zh-CN"/>
        </w:rPr>
        <w:t>9</w:t>
      </w:r>
      <w:r>
        <w:rPr>
          <w:rFonts w:hint="default" w:ascii="宋体" w:hAnsi="宋体" w:eastAsia="宋体" w:cs="宋体"/>
          <w:sz w:val="24"/>
          <w:lang w:val="zh-CN" w:eastAsia="zh-CN"/>
        </w:rPr>
        <w:t>、</w:t>
      </w:r>
      <w:r>
        <w:rPr>
          <w:rFonts w:hint="eastAsia" w:ascii="宋体" w:hAnsi="宋体" w:eastAsia="宋体" w:cs="宋体"/>
          <w:sz w:val="24"/>
          <w:lang w:val="zh-CN" w:eastAsia="zh-CN"/>
        </w:rPr>
        <w:t>投标文件中为本项目配备的人员力量，在合同履行期间，中标人须按采购人要求到达本项目现场提供相应服务，否则采购人有权解除采购合同。</w:t>
      </w:r>
    </w:p>
    <w:p w14:paraId="5809C4FD">
      <w:pPr>
        <w:spacing w:line="460" w:lineRule="exact"/>
        <w:ind w:firstLine="600"/>
        <w:rPr>
          <w:rFonts w:hint="eastAsia" w:ascii="宋体" w:hAnsi="宋体" w:eastAsia="宋体" w:cs="宋体"/>
          <w:sz w:val="24"/>
          <w:lang w:val="zh-CN" w:eastAsia="zh-CN"/>
        </w:rPr>
      </w:pPr>
      <w:r>
        <w:rPr>
          <w:rFonts w:hint="eastAsia" w:ascii="宋体" w:hAnsi="宋体" w:cs="宋体"/>
          <w:sz w:val="24"/>
          <w:lang w:val="en-US" w:eastAsia="zh-CN"/>
        </w:rPr>
        <w:t>10</w:t>
      </w:r>
      <w:r>
        <w:rPr>
          <w:rFonts w:hint="default" w:ascii="宋体" w:hAnsi="宋体" w:eastAsia="宋体" w:cs="宋体"/>
          <w:sz w:val="24"/>
          <w:lang w:val="zh-CN" w:eastAsia="zh-CN"/>
        </w:rPr>
        <w:t>、</w:t>
      </w:r>
      <w:r>
        <w:rPr>
          <w:rFonts w:hint="eastAsia" w:ascii="宋体" w:hAnsi="宋体" w:eastAsia="宋体" w:cs="宋体"/>
          <w:sz w:val="24"/>
          <w:lang w:val="zh-CN" w:eastAsia="zh-CN"/>
        </w:rPr>
        <w:t>服务响应时间：中标人需设有专门的服务队伍，建立完备的响应机制。如出现服务问题，电话响应无法解决，中标人必须在接到电话2小时内到达现场，4小时内解决问题。</w:t>
      </w:r>
    </w:p>
    <w:p w14:paraId="649C787F">
      <w:pPr>
        <w:spacing w:line="460" w:lineRule="exact"/>
        <w:ind w:firstLine="600"/>
        <w:rPr>
          <w:rFonts w:hint="default" w:ascii="宋体" w:hAnsi="宋体" w:eastAsia="宋体" w:cs="宋体"/>
          <w:sz w:val="24"/>
          <w:lang w:val="zh-CN" w:eastAsia="zh-CN"/>
        </w:rPr>
      </w:pPr>
      <w:r>
        <w:rPr>
          <w:rFonts w:hint="eastAsia" w:ascii="宋体" w:hAnsi="宋体" w:cs="宋体"/>
          <w:sz w:val="24"/>
          <w:lang w:val="en-US" w:eastAsia="zh-CN"/>
        </w:rPr>
        <w:t>11</w:t>
      </w:r>
      <w:r>
        <w:rPr>
          <w:rFonts w:hint="default" w:ascii="宋体" w:hAnsi="宋体" w:eastAsia="宋体" w:cs="宋体"/>
          <w:sz w:val="24"/>
          <w:lang w:val="zh-CN" w:eastAsia="zh-CN"/>
        </w:rPr>
        <w:t>、验收：</w:t>
      </w:r>
    </w:p>
    <w:p w14:paraId="7B5CF54D">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w:t>
      </w:r>
      <w:r>
        <w:rPr>
          <w:rFonts w:hint="eastAsia" w:ascii="宋体" w:hAnsi="宋体" w:cs="宋体"/>
          <w:sz w:val="24"/>
          <w:lang w:val="en-US" w:eastAsia="zh-CN"/>
        </w:rPr>
        <w:t>1</w:t>
      </w:r>
      <w:r>
        <w:rPr>
          <w:rFonts w:hint="default" w:ascii="宋体" w:hAnsi="宋体" w:eastAsia="宋体" w:cs="宋体"/>
          <w:sz w:val="24"/>
          <w:lang w:val="zh-CN" w:eastAsia="zh-CN"/>
        </w:rPr>
        <w:t>.1采购人和相关部门按照招标文件和招标响应文件进行验收。招标文件没有规定和招标响应文件没有相应承诺的，按照下列原则进行验收：有国家标准的按照国家标准验收，没有国家标准的按行业标准验收，无行业标准的按地方或企业标准验收，成交投标人予以配合。涉及需要由其他相关行业主管部门验收的项目，采购人须约请相关部门和专家参加项目验收。</w:t>
      </w:r>
    </w:p>
    <w:p w14:paraId="567C80F8">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w:t>
      </w:r>
      <w:r>
        <w:rPr>
          <w:rFonts w:hint="eastAsia" w:ascii="宋体" w:hAnsi="宋体" w:cs="宋体"/>
          <w:sz w:val="24"/>
          <w:lang w:val="en-US" w:eastAsia="zh-CN"/>
        </w:rPr>
        <w:t>1</w:t>
      </w:r>
      <w:r>
        <w:rPr>
          <w:rFonts w:hint="default" w:ascii="宋体" w:hAnsi="宋体" w:eastAsia="宋体" w:cs="宋体"/>
          <w:sz w:val="24"/>
          <w:lang w:val="zh-CN" w:eastAsia="zh-CN"/>
        </w:rPr>
        <w:t>.2采购人及相关行业主管部门对项目进行全面的验收，对验收中暴露出来的问题，成交投标人应及时进行整改，整改后仍达不到验收标准的，采购人有权取消成交投标人资格。</w:t>
      </w:r>
    </w:p>
    <w:p w14:paraId="2223B552">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1</w:t>
      </w:r>
      <w:r>
        <w:rPr>
          <w:rFonts w:hint="eastAsia" w:ascii="宋体" w:hAnsi="宋体" w:cs="宋体"/>
          <w:sz w:val="24"/>
          <w:lang w:val="en-US" w:eastAsia="zh-CN"/>
        </w:rPr>
        <w:t>2</w:t>
      </w:r>
      <w:r>
        <w:rPr>
          <w:rFonts w:hint="eastAsia" w:ascii="宋体" w:hAnsi="宋体" w:eastAsia="宋体" w:cs="宋体"/>
          <w:sz w:val="24"/>
          <w:lang w:val="en-US" w:eastAsia="zh-CN"/>
        </w:rPr>
        <w:t>、</w:t>
      </w:r>
      <w:r>
        <w:rPr>
          <w:rFonts w:hint="eastAsia" w:ascii="宋体" w:hAnsi="宋体" w:eastAsia="宋体" w:cs="宋体"/>
          <w:sz w:val="24"/>
          <w:lang w:val="zh-CN" w:eastAsia="zh-CN"/>
        </w:rPr>
        <w:t>本项目总投标价包含了交付使用前的全部费用及所有价内价外税金及合理利润等，</w:t>
      </w:r>
      <w:r>
        <w:rPr>
          <w:rFonts w:hint="eastAsia" w:ascii="宋体" w:hAnsi="宋体" w:eastAsia="宋体" w:cs="宋体"/>
          <w:sz w:val="24"/>
          <w:lang w:val="en-US" w:eastAsia="zh-CN"/>
        </w:rPr>
        <w:t>不再产生任何二次费用。</w:t>
      </w:r>
    </w:p>
    <w:p w14:paraId="20938E1C">
      <w:pPr>
        <w:spacing w:line="340" w:lineRule="exact"/>
        <w:ind w:firstLine="440" w:firstLineChars="200"/>
        <w:jc w:val="left"/>
        <w:rPr>
          <w:rFonts w:hint="eastAsia" w:asciiTheme="minorEastAsia" w:hAnsiTheme="minorEastAsia" w:eastAsiaTheme="minorEastAsia" w:cstheme="minorEastAsia"/>
          <w:b w:val="0"/>
          <w:bCs w:val="0"/>
          <w:sz w:val="22"/>
          <w:szCs w:val="22"/>
          <w:lang w:val="zh-CN" w:eastAsia="zh-CN"/>
        </w:rPr>
      </w:pPr>
    </w:p>
    <w:p w14:paraId="0DBDA3B3">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DF72">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51E737A5">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9717">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0D8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06335AF"/>
    <w:rsid w:val="020A3257"/>
    <w:rsid w:val="03CB7491"/>
    <w:rsid w:val="052A3046"/>
    <w:rsid w:val="05EB0880"/>
    <w:rsid w:val="062E4AEA"/>
    <w:rsid w:val="06CC51B2"/>
    <w:rsid w:val="06E339B1"/>
    <w:rsid w:val="07E96A1E"/>
    <w:rsid w:val="0A6C6349"/>
    <w:rsid w:val="0B8A6221"/>
    <w:rsid w:val="187263AC"/>
    <w:rsid w:val="1A5A58C9"/>
    <w:rsid w:val="1BE30673"/>
    <w:rsid w:val="1C7F35CF"/>
    <w:rsid w:val="1EA6006C"/>
    <w:rsid w:val="200B3B6B"/>
    <w:rsid w:val="20230655"/>
    <w:rsid w:val="21072CC7"/>
    <w:rsid w:val="2214117B"/>
    <w:rsid w:val="22F722B3"/>
    <w:rsid w:val="230044F9"/>
    <w:rsid w:val="25253F4E"/>
    <w:rsid w:val="25D6079F"/>
    <w:rsid w:val="27E74129"/>
    <w:rsid w:val="28901CFF"/>
    <w:rsid w:val="28A63A77"/>
    <w:rsid w:val="28E75901"/>
    <w:rsid w:val="2F3A581B"/>
    <w:rsid w:val="2F683B53"/>
    <w:rsid w:val="2F937E28"/>
    <w:rsid w:val="30C2420B"/>
    <w:rsid w:val="310E58A1"/>
    <w:rsid w:val="322F2D66"/>
    <w:rsid w:val="32354DFC"/>
    <w:rsid w:val="323653FE"/>
    <w:rsid w:val="33082D45"/>
    <w:rsid w:val="3459486C"/>
    <w:rsid w:val="38402058"/>
    <w:rsid w:val="3B326DB3"/>
    <w:rsid w:val="3C4E2A76"/>
    <w:rsid w:val="3D94095C"/>
    <w:rsid w:val="40147341"/>
    <w:rsid w:val="42917E16"/>
    <w:rsid w:val="449C2FE1"/>
    <w:rsid w:val="484B78BD"/>
    <w:rsid w:val="4D20467D"/>
    <w:rsid w:val="50146947"/>
    <w:rsid w:val="51C74FB8"/>
    <w:rsid w:val="51F635A0"/>
    <w:rsid w:val="52FA6DA5"/>
    <w:rsid w:val="58D331A8"/>
    <w:rsid w:val="5C013209"/>
    <w:rsid w:val="5C6B760E"/>
    <w:rsid w:val="5FF608A7"/>
    <w:rsid w:val="602D5FC1"/>
    <w:rsid w:val="608A34B1"/>
    <w:rsid w:val="63D95EC9"/>
    <w:rsid w:val="64702AD3"/>
    <w:rsid w:val="6C6E4B04"/>
    <w:rsid w:val="6D8E7496"/>
    <w:rsid w:val="6E16292A"/>
    <w:rsid w:val="7075590D"/>
    <w:rsid w:val="72DC3AFD"/>
    <w:rsid w:val="735C50AE"/>
    <w:rsid w:val="73E8476A"/>
    <w:rsid w:val="73F364FA"/>
    <w:rsid w:val="74742919"/>
    <w:rsid w:val="747B3DF9"/>
    <w:rsid w:val="74EE54C4"/>
    <w:rsid w:val="750730DA"/>
    <w:rsid w:val="753B3DF9"/>
    <w:rsid w:val="77C83757"/>
    <w:rsid w:val="77E640D1"/>
    <w:rsid w:val="780B0ECF"/>
    <w:rsid w:val="78D6764B"/>
    <w:rsid w:val="7A992BBA"/>
    <w:rsid w:val="7B404F0F"/>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3"/>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2"/>
    <w:basedOn w:val="1"/>
    <w:next w:val="1"/>
    <w:qFormat/>
    <w:uiPriority w:val="0"/>
    <w:pPr>
      <w:keepNext/>
      <w:keepLines/>
      <w:spacing w:before="260" w:after="260" w:line="412" w:lineRule="auto"/>
      <w:jc w:val="center"/>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link w:val="27"/>
    <w:qFormat/>
    <w:uiPriority w:val="0"/>
    <w:pPr>
      <w:jc w:val="left"/>
    </w:pPr>
    <w:rPr>
      <w:rFonts w:ascii="Arial" w:hAnsi="Arial" w:eastAsia="黑体"/>
      <w:b/>
      <w:sz w:val="32"/>
    </w:rPr>
  </w:style>
  <w:style w:type="paragraph" w:styleId="6">
    <w:name w:val="Body Text Indent"/>
    <w:basedOn w:val="1"/>
    <w:link w:val="28"/>
    <w:semiHidden/>
    <w:unhideWhenUsed/>
    <w:qFormat/>
    <w:uiPriority w:val="99"/>
    <w:pPr>
      <w:spacing w:after="120"/>
      <w:ind w:left="420" w:leftChars="200"/>
    </w:pPr>
  </w:style>
  <w:style w:type="paragraph" w:styleId="7">
    <w:name w:val="Date"/>
    <w:basedOn w:val="1"/>
    <w:next w:val="1"/>
    <w:link w:val="25"/>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宋体"/>
      <w:sz w:val="32"/>
      <w:szCs w:val="22"/>
    </w:r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pPr>
    <w:rPr>
      <w:rFonts w:ascii="Calibri" w:hAnsi="Calibri" w:eastAsia="宋体" w:cs="Times New Roman"/>
      <w:szCs w:val="24"/>
    </w:rPr>
  </w:style>
  <w:style w:type="paragraph" w:styleId="13">
    <w:name w:val="Body Text 2"/>
    <w:basedOn w:val="1"/>
    <w:next w:val="1"/>
    <w:qFormat/>
    <w:uiPriority w:val="0"/>
    <w:pPr>
      <w:spacing w:after="120" w:line="480" w:lineRule="auto"/>
    </w:pPr>
    <w:rPr>
      <w:kern w:val="0"/>
      <w:sz w:val="20"/>
      <w:szCs w:val="24"/>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29"/>
    <w:semiHidden/>
    <w:unhideWhenUsed/>
    <w:qFormat/>
    <w:uiPriority w:val="99"/>
    <w:pPr>
      <w:ind w:firstLine="420" w:firstLineChars="200"/>
    </w:pPr>
  </w:style>
  <w:style w:type="table" w:styleId="17">
    <w:name w:val="Table Grid"/>
    <w:basedOn w:val="1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semiHidden/>
    <w:unhideWhenUsed/>
    <w:qFormat/>
    <w:uiPriority w:val="99"/>
    <w:rPr>
      <w:rFonts w:cs="Times New Roman"/>
    </w:rPr>
  </w:style>
  <w:style w:type="character" w:styleId="21">
    <w:name w:val="Hyperlink"/>
    <w:basedOn w:val="18"/>
    <w:unhideWhenUsed/>
    <w:qFormat/>
    <w:uiPriority w:val="99"/>
    <w:rPr>
      <w:color w:val="0000FF"/>
      <w:u w:val="single"/>
    </w:rPr>
  </w:style>
  <w:style w:type="paragraph" w:customStyle="1"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页眉 Char"/>
    <w:basedOn w:val="18"/>
    <w:link w:val="11"/>
    <w:semiHidden/>
    <w:qFormat/>
    <w:uiPriority w:val="99"/>
    <w:rPr>
      <w:sz w:val="18"/>
      <w:szCs w:val="18"/>
    </w:rPr>
  </w:style>
  <w:style w:type="character" w:customStyle="1" w:styleId="24">
    <w:name w:val="页脚 Char"/>
    <w:basedOn w:val="18"/>
    <w:link w:val="10"/>
    <w:qFormat/>
    <w:uiPriority w:val="0"/>
    <w:rPr>
      <w:sz w:val="18"/>
      <w:szCs w:val="18"/>
    </w:rPr>
  </w:style>
  <w:style w:type="character" w:customStyle="1" w:styleId="25">
    <w:name w:val="日期 Char"/>
    <w:basedOn w:val="18"/>
    <w:link w:val="7"/>
    <w:semiHidden/>
    <w:qFormat/>
    <w:uiPriority w:val="99"/>
  </w:style>
  <w:style w:type="character" w:customStyle="1" w:styleId="26">
    <w:name w:val="正文文本 Char"/>
    <w:link w:val="5"/>
    <w:qFormat/>
    <w:locked/>
    <w:uiPriority w:val="0"/>
    <w:rPr>
      <w:rFonts w:ascii="Arial" w:hAnsi="Arial" w:eastAsia="黑体"/>
      <w:b/>
      <w:sz w:val="32"/>
    </w:rPr>
  </w:style>
  <w:style w:type="character" w:customStyle="1" w:styleId="27">
    <w:name w:val="正文文本 Char1"/>
    <w:basedOn w:val="18"/>
    <w:link w:val="5"/>
    <w:semiHidden/>
    <w:qFormat/>
    <w:uiPriority w:val="99"/>
  </w:style>
  <w:style w:type="character" w:customStyle="1" w:styleId="28">
    <w:name w:val="正文文本缩进 Char"/>
    <w:basedOn w:val="18"/>
    <w:link w:val="6"/>
    <w:semiHidden/>
    <w:qFormat/>
    <w:uiPriority w:val="99"/>
  </w:style>
  <w:style w:type="character" w:customStyle="1" w:styleId="29">
    <w:name w:val="正文首行缩进 2 Char"/>
    <w:basedOn w:val="28"/>
    <w:link w:val="15"/>
    <w:semiHidden/>
    <w:qFormat/>
    <w:uiPriority w:val="99"/>
  </w:style>
  <w:style w:type="character" w:customStyle="1" w:styleId="30">
    <w:name w:val="批注框文本 Char"/>
    <w:basedOn w:val="18"/>
    <w:link w:val="9"/>
    <w:semiHidden/>
    <w:qFormat/>
    <w:uiPriority w:val="99"/>
    <w:rPr>
      <w:sz w:val="18"/>
      <w:szCs w:val="18"/>
    </w:rPr>
  </w:style>
  <w:style w:type="paragraph" w:customStyle="1" w:styleId="31">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2">
    <w:name w:val="目录 21"/>
    <w:basedOn w:val="1"/>
    <w:qFormat/>
    <w:uiPriority w:val="0"/>
    <w:pPr>
      <w:ind w:left="420"/>
    </w:pPr>
    <w:rPr>
      <w:rFonts w:eastAsia="仿宋_GB2312"/>
      <w:b/>
      <w:sz w:val="24"/>
    </w:rPr>
  </w:style>
  <w:style w:type="character" w:customStyle="1" w:styleId="33">
    <w:name w:val="标题 1 Char"/>
    <w:basedOn w:val="18"/>
    <w:link w:val="2"/>
    <w:qFormat/>
    <w:uiPriority w:val="0"/>
    <w:rPr>
      <w:rFonts w:ascii="Times New Roman" w:hAnsi="Times New Roman" w:eastAsia="黑体"/>
      <w:b/>
      <w:bCs/>
      <w:kern w:val="44"/>
      <w:sz w:val="30"/>
      <w:szCs w:val="44"/>
    </w:rPr>
  </w:style>
  <w:style w:type="character" w:customStyle="1" w:styleId="34">
    <w:name w:val="font101"/>
    <w:basedOn w:val="18"/>
    <w:qFormat/>
    <w:uiPriority w:val="0"/>
    <w:rPr>
      <w:rFonts w:hint="eastAsia" w:ascii="宋体" w:hAnsi="宋体" w:eastAsia="宋体" w:cs="宋体"/>
      <w:color w:val="FF0000"/>
      <w:sz w:val="20"/>
      <w:szCs w:val="20"/>
      <w:u w:val="none"/>
    </w:rPr>
  </w:style>
  <w:style w:type="paragraph" w:customStyle="1" w:styleId="35">
    <w:name w:val="节标题"/>
    <w:basedOn w:val="1"/>
    <w:next w:val="1"/>
    <w:qFormat/>
    <w:uiPriority w:val="0"/>
    <w:pPr>
      <w:widowControl/>
      <w:spacing w:line="289" w:lineRule="atLeast"/>
      <w:jc w:val="center"/>
      <w:textAlignment w:val="baseline"/>
    </w:pPr>
    <w:rPr>
      <w:color w:val="000000"/>
      <w:kern w:val="0"/>
      <w:sz w:val="28"/>
    </w:rPr>
  </w:style>
  <w:style w:type="paragraph" w:customStyle="1" w:styleId="36">
    <w:name w:val="p0"/>
    <w:basedOn w:val="1"/>
    <w:qFormat/>
    <w:uiPriority w:val="0"/>
    <w:pPr>
      <w:widowControl/>
    </w:pPr>
    <w:rPr>
      <w:rFonts w:cs="宋体"/>
      <w:kern w:val="0"/>
    </w:rPr>
  </w:style>
  <w:style w:type="paragraph" w:customStyle="1" w:styleId="37">
    <w:name w:val="列出段落1"/>
    <w:basedOn w:val="1"/>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 w:type="paragraph" w:customStyle="1" w:styleId="38">
    <w:name w:val="哈哈正文"/>
    <w:basedOn w:val="1"/>
    <w:qFormat/>
    <w:uiPriority w:val="0"/>
    <w:pPr>
      <w:widowControl/>
      <w:spacing w:before="119" w:line="360" w:lineRule="auto"/>
      <w:ind w:left="567" w:firstLine="420" w:firstLineChars="232"/>
    </w:pPr>
    <w:rPr>
      <w:rFonts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3685</Words>
  <Characters>3790</Characters>
  <Lines>6</Lines>
  <Paragraphs>1</Paragraphs>
  <TotalTime>1</TotalTime>
  <ScaleCrop>false</ScaleCrop>
  <LinksUpToDate>false</LinksUpToDate>
  <CharactersWithSpaces>3812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2025-07-30T01:50:02Z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5454054EEDDD420495B91241D8CDEB4A</vt:lpwstr>
  </property>
  <property fmtid="{D5CDD505-2E9C-101B-9397-08002B2CF9AE}" pid="4" name="KSOTemplateDocerSaveRecord">
    <vt:lpwstr>eyJoZGlkIjoiNjVjOGUxODk1YzY2NTUxMWVjNzRmZDgxYTIzNjVjOGQiLCJ1c2VySWQiOiI1NTUzMTQ2MDYifQ==</vt:lpwstr>
  </property>
</Properties>
</file>