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骨科类医用耗材供货服务采购内容及相关要求</w:t>
      </w:r>
    </w:p>
    <w:tbl>
      <w:tblPr>
        <w:tblStyle w:val="3"/>
        <w:tblpPr w:leftFromText="180" w:rightFromText="180" w:vertAnchor="text" w:horzAnchor="page" w:tblpX="1695" w:tblpY="185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773"/>
        <w:gridCol w:w="2057"/>
        <w:gridCol w:w="2754"/>
        <w:gridCol w:w="343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一次性使用脉冲冲洗系统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主要用于膝关节置换，髋关节翻修手术冲洗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带电池能冲洗的脉冲枪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与关节置换手术同时使用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可吸收止血膜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面积大小不同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手术切口内止血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能直接放置在切口内，可吸收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有不同大小的可选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无菌包装等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与开放手术同时使用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金属骨针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不同直径，从细到粗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骨科手术固定、导引等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80" w:firstLineChars="4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有不同直径的骨针备选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与骨折手术同时使用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金属缆索内固定系统-线缆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（普通无针缆索）1.3×400㎜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骨折环扎固定等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与骨折手术同时使用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脊柱内固定器-连接块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（连接块Ⅲ型）3822 RSAC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脊柱融合手术使用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镜下融合手术使用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单臂一体式外固定器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可用于不同部位的外固定器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骨折外固定手术使用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1、可用于不同部位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2、方向可调节等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皮肤条件差，不适合内固定手术的患者使用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创伤负压引流套装</w:t>
            </w:r>
            <w:bookmarkEnd w:id="0"/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VSD-D-2-15*10*1㎝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创面负压引流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创面引流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电动脉冲冲洗器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W-202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手术切口冲洗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用于手术冲洗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1、提供样品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3、分批供货，7日内供货；每批货验收合格后12个月后支付该批次金额100%；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4、产品不少于1年有效期（按照进医院时间计算）；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5、属于“安徽省医药集中采购平台”目录内“集中限价”产品优先。</w:t>
      </w:r>
    </w:p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DJlMTRlOGVhOTI2YTcwZTQ3MDEwYjlhZDIyODEifQ=="/>
  </w:docVars>
  <w:rsids>
    <w:rsidRoot w:val="00000000"/>
    <w:rsid w:val="3E855DF5"/>
    <w:rsid w:val="535351E2"/>
    <w:rsid w:val="54C3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529</Characters>
  <Lines>0</Lines>
  <Paragraphs>0</Paragraphs>
  <TotalTime>43</TotalTime>
  <ScaleCrop>false</ScaleCrop>
  <LinksUpToDate>false</LinksUpToDate>
  <CharactersWithSpaces>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2025-08-25T12:56:00Z</dcterms:created>
  <dc:creator>Administrator</dc:creator>
  <cp:lastModifiedBy>绝世撒旦</cp:lastModifiedBy>
  <dcterms:modified xsi:type="dcterms:W3CDTF">2025-09-13T07:21:50Z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eyJoZGlkIjoiNTBhODE0ZGIyMjAyMmQ2M2VmMmIzNjQxNDg4ZDRlMTYiLCJ1c2VySWQiOiI3MDg0MDI0MDgifQ==</vt:lpwstr>
  </property>
  <property fmtid="{D5CDD505-2E9C-101B-9397-08002B2CF9AE}" pid="4" name="ICV">
    <vt:lpwstr>8DF192B2B1C34013887AF9D0530021D9_13</vt:lpwstr>
  </property>
</Properties>
</file>