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A6FBD">
      <w:pPr>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left="0" w:leftChars="0"/>
        <w:jc w:val="center"/>
        <w:textAlignment w:val="auto"/>
        <w:rPr>
          <w:rFonts w:hint="eastAsia" w:ascii="宋体" w:hAnsi="宋体" w:eastAsia="宋体" w:cs="宋体"/>
          <w:color w:val="000000" w:themeColor="text1"/>
          <w:spacing w:val="-20"/>
          <w:kern w:val="2"/>
          <w:sz w:val="40"/>
          <w:szCs w:val="40"/>
          <w:highlight w:val="none"/>
          <w:lang w:val="en-US" w:eastAsia="zh-CN" w:bidi="ar-SA"/>
        </w:rPr>
      </w:pPr>
      <w:r>
        <w:rPr>
          <w:rFonts w:hint="eastAsia" w:ascii="宋体" w:hAnsi="宋体" w:eastAsia="宋体" w:cs="宋体"/>
          <w:color w:val="000000" w:themeColor="text1"/>
          <w:spacing w:val="-20"/>
          <w:kern w:val="2"/>
          <w:sz w:val="40"/>
          <w:szCs w:val="40"/>
          <w:highlight w:val="none"/>
          <w:lang w:val="en-US" w:eastAsia="zh-CN" w:bidi="ar-SA"/>
        </w:rPr>
        <w:t>马鞍山市</w:t>
      </w:r>
      <w:r>
        <w:rPr>
          <w:rFonts w:hint="eastAsia" w:ascii="宋体" w:hAnsi="宋体" w:cs="宋体"/>
          <w:color w:val="000000" w:themeColor="text1"/>
          <w:spacing w:val="-20"/>
          <w:kern w:val="2"/>
          <w:sz w:val="40"/>
          <w:szCs w:val="40"/>
          <w:highlight w:val="none"/>
          <w:lang w:val="en-US" w:eastAsia="zh-CN" w:bidi="ar-SA"/>
        </w:rPr>
        <w:t>办公家具采购与安装项目</w:t>
      </w:r>
      <w:r>
        <w:rPr>
          <w:rFonts w:hint="eastAsia" w:ascii="宋体" w:hAnsi="宋体" w:eastAsia="宋体" w:cs="宋体"/>
          <w:color w:val="000000" w:themeColor="text1"/>
          <w:spacing w:val="-20"/>
          <w:kern w:val="2"/>
          <w:sz w:val="40"/>
          <w:szCs w:val="40"/>
          <w:highlight w:val="none"/>
          <w:lang w:val="en-US" w:eastAsia="zh-CN" w:bidi="ar-SA"/>
        </w:rPr>
        <w:t>内容及相关要求</w:t>
      </w:r>
    </w:p>
    <w:p w14:paraId="2E74D288">
      <w:pPr>
        <w:numPr>
          <w:ilvl w:val="0"/>
          <w:numId w:val="1"/>
        </w:numPr>
        <w:tabs>
          <w:tab w:val="left" w:pos="1050"/>
        </w:tabs>
        <w:spacing w:line="460" w:lineRule="exact"/>
        <w:ind w:left="210" w:leftChars="0" w:firstLineChars="0"/>
        <w:jc w:val="left"/>
        <w:outlineLvl w:val="2"/>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采购预算</w:t>
      </w:r>
    </w:p>
    <w:p w14:paraId="78876718">
      <w:pPr>
        <w:spacing w:line="340" w:lineRule="exact"/>
        <w:ind w:firstLine="486"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预算金额（人民币）：</w:t>
      </w:r>
      <w:r>
        <w:rPr>
          <w:rFonts w:hint="eastAsia" w:asciiTheme="minorEastAsia" w:hAnsiTheme="minorEastAsia" w:eastAsiaTheme="minorEastAsia" w:cstheme="minorEastAsia"/>
          <w:b w:val="0"/>
          <w:bCs w:val="0"/>
          <w:sz w:val="24"/>
          <w:szCs w:val="24"/>
          <w:u w:val="single"/>
          <w:lang w:val="en-US" w:eastAsia="zh-CN"/>
        </w:rPr>
        <w:t xml:space="preserve"> 4.776 </w:t>
      </w:r>
      <w:r>
        <w:rPr>
          <w:rFonts w:hint="eastAsia" w:asciiTheme="minorEastAsia" w:hAnsiTheme="minorEastAsia" w:eastAsiaTheme="minorEastAsia" w:cstheme="minorEastAsia"/>
          <w:b w:val="0"/>
          <w:bCs w:val="0"/>
          <w:sz w:val="24"/>
          <w:szCs w:val="24"/>
          <w:lang w:val="en-US" w:eastAsia="zh-CN"/>
        </w:rPr>
        <w:t>万元；最高限价（人民币）：</w:t>
      </w:r>
      <w:r>
        <w:rPr>
          <w:rFonts w:hint="eastAsia" w:asciiTheme="minorEastAsia" w:hAnsiTheme="minorEastAsia" w:eastAsiaTheme="minorEastAsia" w:cstheme="minorEastAsia"/>
          <w:b w:val="0"/>
          <w:bCs w:val="0"/>
          <w:sz w:val="24"/>
          <w:szCs w:val="24"/>
          <w:u w:val="single"/>
          <w:lang w:val="en-US" w:eastAsia="zh-CN"/>
        </w:rPr>
        <w:t xml:space="preserve"> 4.776 </w:t>
      </w:r>
      <w:r>
        <w:rPr>
          <w:rFonts w:hint="eastAsia" w:asciiTheme="minorEastAsia" w:hAnsiTheme="minorEastAsia" w:eastAsiaTheme="minorEastAsia" w:cstheme="minorEastAsia"/>
          <w:b w:val="0"/>
          <w:bCs w:val="0"/>
          <w:sz w:val="24"/>
          <w:szCs w:val="24"/>
          <w:lang w:val="en-US" w:eastAsia="zh-CN"/>
        </w:rPr>
        <w:t>万元。</w:t>
      </w:r>
    </w:p>
    <w:p w14:paraId="78DF245A">
      <w:pPr>
        <w:numPr>
          <w:ilvl w:val="0"/>
          <w:numId w:val="1"/>
        </w:numPr>
        <w:spacing w:line="480" w:lineRule="exact"/>
        <w:ind w:left="210" w:leftChars="0" w:firstLine="0" w:firstLineChars="0"/>
        <w:jc w:val="left"/>
        <w:rPr>
          <w:rFonts w:hint="eastAsia" w:asciiTheme="minorEastAsia" w:hAnsiTheme="minorEastAsia" w:eastAsiaTheme="minorEastAsia" w:cstheme="minorEastAsia"/>
          <w:sz w:val="24"/>
          <w:szCs w:val="24"/>
          <w:lang w:val="en-US" w:eastAsia="zh-CN"/>
        </w:rPr>
      </w:pPr>
      <w:bookmarkStart w:id="0" w:name="_Toc26868"/>
      <w:r>
        <w:rPr>
          <w:rFonts w:hint="eastAsia" w:asciiTheme="minorEastAsia" w:hAnsiTheme="minorEastAsia" w:eastAsiaTheme="minorEastAsia" w:cstheme="minorEastAsia"/>
          <w:b/>
          <w:sz w:val="24"/>
          <w:szCs w:val="24"/>
          <w:lang w:val="en-US" w:eastAsia="zh-CN"/>
        </w:rPr>
        <w:t>采购内容及相关要求</w:t>
      </w:r>
    </w:p>
    <w:p w14:paraId="72F10A89">
      <w:pPr>
        <w:spacing w:line="480" w:lineRule="exact"/>
        <w:jc w:val="center"/>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 xml:space="preserve">        （一）采购清单</w:t>
      </w:r>
    </w:p>
    <w:tbl>
      <w:tblPr>
        <w:tblStyle w:val="17"/>
        <w:tblW w:w="141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40" w:type="dxa"/>
          <w:left w:w="64" w:type="dxa"/>
          <w:bottom w:w="40" w:type="dxa"/>
          <w:right w:w="64" w:type="dxa"/>
        </w:tblCellMar>
      </w:tblPr>
      <w:tblGrid>
        <w:gridCol w:w="496"/>
        <w:gridCol w:w="510"/>
        <w:gridCol w:w="1395"/>
        <w:gridCol w:w="2310"/>
        <w:gridCol w:w="5144"/>
        <w:gridCol w:w="601"/>
        <w:gridCol w:w="645"/>
        <w:gridCol w:w="1582"/>
        <w:gridCol w:w="1491"/>
      </w:tblGrid>
      <w:tr w14:paraId="241CA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BA104">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序号</w:t>
            </w:r>
          </w:p>
        </w:tc>
        <w:tc>
          <w:tcPr>
            <w:tcW w:w="5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6C2CF">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区域</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9E2848">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货物名称</w:t>
            </w:r>
          </w:p>
          <w:p w14:paraId="7104F2E9">
            <w:pPr>
              <w:pStyle w:val="2"/>
              <w:snapToGrid w:val="0"/>
              <w:ind w:left="0" w:leftChars="0" w:firstLine="0" w:firstLineChars="0"/>
              <w:rPr>
                <w:rFonts w:hint="eastAsia"/>
                <w:b/>
                <w:lang w:val="en-US" w:eastAsia="zh-CN"/>
              </w:rPr>
            </w:pPr>
            <w:r>
              <w:rPr>
                <w:rFonts w:hint="eastAsia" w:ascii="宋体" w:hAnsi="宋体" w:eastAsia="宋体" w:cs="宋体"/>
                <w:b/>
                <w:bCs/>
                <w:position w:val="-2"/>
                <w:sz w:val="22"/>
                <w:szCs w:val="22"/>
                <w:lang w:val="en-US" w:eastAsia="zh-CN"/>
              </w:rPr>
              <w:t>（标的名称）</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A4D3F">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规格</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74261">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技术参数</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DF7B1">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数量</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EB3706">
            <w:pPr>
              <w:snapToGrid w:val="0"/>
              <w:spacing w:line="460" w:lineRule="exact"/>
              <w:jc w:val="center"/>
              <w:rPr>
                <w:rFonts w:hint="default"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单位</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32589B">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最高限制单价</w:t>
            </w:r>
          </w:p>
          <w:p w14:paraId="567285F9">
            <w:pPr>
              <w:pStyle w:val="2"/>
              <w:snapToGrid w:val="0"/>
              <w:rPr>
                <w:rFonts w:hint="eastAsia"/>
                <w:b/>
                <w:lang w:val="en-US" w:eastAsia="zh-CN"/>
              </w:rPr>
            </w:pPr>
            <w:r>
              <w:rPr>
                <w:rFonts w:hint="eastAsia" w:ascii="宋体" w:hAnsi="宋体" w:eastAsia="宋体" w:cs="宋体"/>
                <w:b/>
                <w:bCs/>
                <w:position w:val="-2"/>
                <w:sz w:val="22"/>
                <w:szCs w:val="22"/>
                <w:lang w:val="en-US" w:eastAsia="zh-CN"/>
              </w:rPr>
              <w:t>（元）</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3FF6EF">
            <w:pPr>
              <w:snapToGrid w:val="0"/>
              <w:spacing w:line="460" w:lineRule="exact"/>
              <w:jc w:val="center"/>
              <w:rPr>
                <w:rFonts w:hint="eastAsia" w:ascii="宋体" w:hAnsi="宋体" w:eastAsia="宋体" w:cs="宋体"/>
                <w:b/>
                <w:bCs/>
                <w:position w:val="-2"/>
                <w:sz w:val="22"/>
                <w:szCs w:val="22"/>
                <w:lang w:val="en-US" w:eastAsia="zh-CN"/>
              </w:rPr>
            </w:pPr>
            <w:r>
              <w:rPr>
                <w:rFonts w:hint="eastAsia" w:ascii="宋体" w:hAnsi="宋体" w:eastAsia="宋体" w:cs="宋体"/>
                <w:b/>
                <w:bCs/>
                <w:position w:val="-2"/>
                <w:sz w:val="22"/>
                <w:szCs w:val="22"/>
                <w:lang w:val="en-US" w:eastAsia="zh-CN"/>
              </w:rPr>
              <w:t>参考图片</w:t>
            </w:r>
          </w:p>
        </w:tc>
      </w:tr>
      <w:tr w14:paraId="190A5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48CF1A">
            <w:pPr>
              <w:snapToGrid w:val="0"/>
              <w:spacing w:line="240" w:lineRule="auto"/>
              <w:jc w:val="center"/>
              <w:rPr>
                <w:rFonts w:hint="eastAsia"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w:t>
            </w:r>
          </w:p>
        </w:tc>
        <w:tc>
          <w:tcPr>
            <w:tcW w:w="510" w:type="dxa"/>
            <w:vMerge w:val="restart"/>
            <w:tcBorders>
              <w:top w:val="single" w:color="000000" w:sz="4" w:space="0"/>
              <w:left w:val="single" w:color="000000" w:sz="4" w:space="0"/>
              <w:right w:val="single" w:color="000000" w:sz="4" w:space="0"/>
            </w:tcBorders>
            <w:shd w:val="clear" w:color="auto" w:fill="FFFFFF"/>
            <w:noWrap w:val="0"/>
            <w:vAlign w:val="center"/>
          </w:tcPr>
          <w:p w14:paraId="78AEA8CD">
            <w:pPr>
              <w:snapToGrid w:val="0"/>
              <w:spacing w:line="240" w:lineRule="auto"/>
              <w:jc w:val="center"/>
              <w:rPr>
                <w:rFonts w:hint="eastAsia"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桃源社区</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F31051">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定制医用木质收纳柜（含开放式操作台）</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389DF">
            <w:pPr>
              <w:snapToGrid w:val="0"/>
              <w:spacing w:line="240" w:lineRule="auto"/>
              <w:jc w:val="center"/>
              <w:rPr>
                <w:rFonts w:hint="eastAsia" w:ascii="宋体" w:hAnsi="宋体" w:eastAsia="宋体" w:cs="宋体"/>
                <w:position w:val="-2"/>
                <w:sz w:val="22"/>
                <w:szCs w:val="22"/>
                <w:lang w:val="en-US" w:eastAsia="zh-CN"/>
              </w:rPr>
            </w:pPr>
            <w:r>
              <w:rPr>
                <w:rStyle w:val="37"/>
                <w:rFonts w:ascii="宋体" w:eastAsia="宋体"/>
                <w:sz w:val="22"/>
                <w:lang w:val="en-US" w:eastAsia="zh-CN" w:bidi="ar"/>
              </w:rPr>
              <w:t>尺寸</w:t>
            </w:r>
            <w:r>
              <w:rPr>
                <w:rStyle w:val="37"/>
                <w:rFonts w:hint="eastAsia" w:ascii="宋体" w:eastAsia="宋体"/>
                <w:sz w:val="22"/>
                <w:lang w:val="en-US" w:eastAsia="zh-CN" w:bidi="ar"/>
              </w:rPr>
              <w:t>约</w:t>
            </w:r>
            <w:r>
              <w:rPr>
                <w:rStyle w:val="37"/>
                <w:rFonts w:ascii="宋体" w:eastAsia="宋体"/>
                <w:sz w:val="22"/>
                <w:lang w:val="en-US" w:eastAsia="zh-CN" w:bidi="ar"/>
              </w:rPr>
              <w:t>1000*500*2300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641619">
            <w:pPr>
              <w:keepNext w:val="0"/>
              <w:keepLines w:val="0"/>
              <w:widowControl/>
              <w:suppressLineNumbers w:val="0"/>
              <w:snapToGrid w:val="0"/>
              <w:jc w:val="left"/>
              <w:textAlignment w:val="center"/>
              <w:rPr>
                <w:rFonts w:hint="eastAsia" w:ascii="宋体" w:hAnsi="宋体" w:eastAsia="宋体" w:cs="宋体"/>
                <w:i w:val="0"/>
                <w:iCs w:val="0"/>
                <w:color w:val="000000"/>
                <w:kern w:val="2"/>
                <w:sz w:val="22"/>
                <w:szCs w:val="22"/>
                <w:u w:val="none"/>
                <w:lang w:val="en-US" w:eastAsia="zh-CN" w:bidi="ar-SA"/>
              </w:rPr>
            </w:pPr>
            <w:r>
              <w:rPr>
                <w:rStyle w:val="37"/>
                <w:rFonts w:ascii="宋体" w:eastAsia="宋体"/>
                <w:sz w:val="22"/>
                <w:lang w:val="en-US" w:eastAsia="zh-CN" w:bidi="ar"/>
              </w:rPr>
              <w:t>实木板材，要求达到或优于国标E1级环保标准 (提供检测报告)，厚度≥18mm。封边：采用同色ABS全自动封边，厚度≥1.5mm，表面应无皱纹、裂纹、染色线、无明显的气泡、针孔、划痕等瑕疵。</w:t>
            </w:r>
            <w:r>
              <w:rPr>
                <w:rStyle w:val="37"/>
                <w:rFonts w:ascii="宋体" w:eastAsia="宋体"/>
                <w:sz w:val="22"/>
                <w:lang w:val="en-US" w:eastAsia="zh-CN" w:bidi="ar"/>
              </w:rPr>
              <w:br w:type="textWrapping"/>
            </w:r>
            <w:r>
              <w:rPr>
                <w:rStyle w:val="37"/>
                <w:rFonts w:ascii="宋体" w:eastAsia="宋体"/>
                <w:sz w:val="22"/>
                <w:lang w:val="en-US" w:eastAsia="zh-CN" w:bidi="ar"/>
              </w:rPr>
              <w:t>五金配件：缓冲阻尼铰链。锁具：铝合金拉手。</w:t>
            </w:r>
            <w:r>
              <w:rPr>
                <w:rStyle w:val="37"/>
                <w:rFonts w:ascii="宋体" w:eastAsia="宋体"/>
                <w:sz w:val="22"/>
                <w:lang w:val="en-US" w:eastAsia="zh-CN" w:bidi="ar"/>
              </w:rPr>
              <w:br w:type="textWrapping"/>
            </w:r>
            <w:r>
              <w:rPr>
                <w:rStyle w:val="37"/>
                <w:rFonts w:ascii="宋体" w:eastAsia="宋体"/>
                <w:sz w:val="22"/>
                <w:lang w:val="en-US" w:eastAsia="zh-CN" w:bidi="ar"/>
              </w:rPr>
              <w:t>环保标准：板材甲醛释放量符合</w:t>
            </w:r>
            <w:r>
              <w:rPr>
                <w:rStyle w:val="38"/>
                <w:rFonts w:ascii="宋体" w:eastAsia="宋体"/>
                <w:sz w:val="22"/>
                <w:lang w:val="en-US" w:eastAsia="zh-CN" w:bidi="ar"/>
              </w:rPr>
              <w:t xml:space="preserve"> </w:t>
            </w:r>
            <w:r>
              <w:rPr>
                <w:rStyle w:val="37"/>
                <w:rFonts w:ascii="宋体" w:eastAsia="宋体"/>
                <w:sz w:val="22"/>
                <w:lang w:val="en-US" w:eastAsia="zh-CN" w:bidi="ar"/>
              </w:rPr>
              <w:t>GB 18580-2017 《室内装饰装修材料 人造板及其制品中甲醛释放限量》中的</w:t>
            </w:r>
            <w:r>
              <w:rPr>
                <w:rStyle w:val="37"/>
                <w:rFonts w:ascii="宋体" w:eastAsia="宋体"/>
                <w:sz w:val="22"/>
                <w:lang w:val="en-US" w:eastAsia="zh-CN" w:bidi="ar"/>
              </w:rPr>
              <w:br w:type="textWrapping"/>
            </w:r>
            <w:r>
              <w:rPr>
                <w:rStyle w:val="37"/>
                <w:rFonts w:ascii="宋体" w:eastAsia="宋体"/>
                <w:sz w:val="22"/>
                <w:lang w:val="en-US" w:eastAsia="zh-CN" w:bidi="ar"/>
              </w:rPr>
              <w:t xml:space="preserve"> E1级 (≤ 0.124mg/m³) 或更高标准 (如E0级)。</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26E519">
            <w:pPr>
              <w:snapToGrid w:val="0"/>
              <w:spacing w:line="460" w:lineRule="exact"/>
              <w:jc w:val="center"/>
              <w:rPr>
                <w:rFonts w:hint="eastAsia"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38A07">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组</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DA372">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1650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162B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position w:val="-2"/>
                <w:sz w:val="22"/>
                <w:szCs w:val="22"/>
              </w:rPr>
            </w:pPr>
            <w:r>
              <w:rPr>
                <w:rFonts w:ascii="宋体" w:eastAsia="宋体"/>
                <w:sz w:val="22"/>
              </w:rPr>
              <w:pict>
                <v:shape id="_x0000_i1033" o:spt="75" alt="a853391e1afe0d145fa24075ed2a165" type="#_x0000_t75" style="height:73.05pt;width:68.1pt;" filled="f" o:preferrelative="t" stroked="f" coordsize="21600,21600">
                  <v:path/>
                  <v:fill on="f" focussize="0,0"/>
                  <v:stroke on="f"/>
                  <v:imagedata r:id="rId6" o:title="a853391e1afe0d145fa24075ed2a165"/>
                  <o:lock v:ext="edit" aspectratio="t"/>
                  <w10:wrap type="none"/>
                  <w10:anchorlock/>
                </v:shape>
              </w:pict>
            </w:r>
          </w:p>
        </w:tc>
      </w:tr>
      <w:tr w14:paraId="77463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A6360F">
            <w:pPr>
              <w:snapToGrid w:val="0"/>
              <w:spacing w:line="240" w:lineRule="auto"/>
              <w:jc w:val="center"/>
              <w:rPr>
                <w:rFonts w:hint="eastAsia"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w:t>
            </w:r>
          </w:p>
        </w:tc>
        <w:tc>
          <w:tcPr>
            <w:tcW w:w="510" w:type="dxa"/>
            <w:vMerge w:val="continue"/>
            <w:tcBorders>
              <w:left w:val="single" w:color="000000" w:sz="4" w:space="0"/>
              <w:right w:val="single" w:color="000000" w:sz="4" w:space="0"/>
            </w:tcBorders>
            <w:shd w:val="clear" w:color="auto" w:fill="FFFFFF"/>
            <w:noWrap w:val="0"/>
            <w:vAlign w:val="center"/>
          </w:tcPr>
          <w:p w14:paraId="1AAAC5BF">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BFBE8">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定制医用木质收纳柜</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B02499">
            <w:pPr>
              <w:snapToGrid w:val="0"/>
              <w:spacing w:line="240" w:lineRule="auto"/>
              <w:jc w:val="center"/>
              <w:rPr>
                <w:rFonts w:hint="eastAsia" w:ascii="宋体" w:hAnsi="宋体" w:eastAsia="宋体" w:cs="宋体"/>
                <w:position w:val="-2"/>
                <w:sz w:val="22"/>
                <w:szCs w:val="22"/>
                <w:lang w:val="en-US" w:eastAsia="zh-CN"/>
              </w:rPr>
            </w:pPr>
            <w:r>
              <w:rPr>
                <w:rFonts w:hint="eastAsia" w:ascii="宋体" w:hAnsi="宋体" w:eastAsia="宋体" w:cs="宋体"/>
                <w:i w:val="0"/>
                <w:iCs w:val="0"/>
                <w:color w:val="000000"/>
                <w:kern w:val="0"/>
                <w:sz w:val="22"/>
                <w:szCs w:val="22"/>
                <w:u w:val="none"/>
                <w:lang w:val="en-US" w:eastAsia="zh-CN" w:bidi="ar"/>
              </w:rPr>
              <w:t>尺寸约1000*500*2300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5AA867">
            <w:pPr>
              <w:keepNext w:val="0"/>
              <w:keepLines w:val="0"/>
              <w:widowControl/>
              <w:suppressLineNumbers w:val="0"/>
              <w:snapToGrid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实木板材，要求达到或优于国标E1级环保标准 (提供检测报告)，厚度≥18mm。封边：采用同色ABS全自动封边，厚度≥1.5mm，表面应无皱纹、裂纹、染色线、无明显的气泡、针孔、划痕等瑕疵。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五金配件：缓冲阻尼铰链。锁具：铝合金拉手。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环保标准：板材甲醛释放量符合 GB 18580-2017 《室内装饰装修材料 人造板及其制品中甲醛释放限量》中的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E1级 (≤ 0.124mg/m³) 或更高标准 (如E0级)。</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B5A1DC">
            <w:pPr>
              <w:snapToGrid w:val="0"/>
              <w:spacing w:line="460" w:lineRule="exact"/>
              <w:jc w:val="center"/>
              <w:rPr>
                <w:rFonts w:hint="eastAsia"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DE2384">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组</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1DD14">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1650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E6AFC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position w:val="-2"/>
                <w:sz w:val="22"/>
                <w:szCs w:val="22"/>
              </w:rPr>
            </w:pPr>
            <w:r>
              <w:rPr>
                <w:rFonts w:ascii="宋体" w:eastAsia="宋体"/>
                <w:sz w:val="22"/>
              </w:rPr>
              <w:pict>
                <v:shape id="_x0000_i1034" o:spt="75" alt="a853391e1afe0d145fa24075ed2a165" type="#_x0000_t75" style="height:73.1pt;width:68.1pt;" filled="f" o:preferrelative="t" stroked="f" coordsize="21600,21600">
                  <v:path/>
                  <v:fill on="f" focussize="0,0"/>
                  <v:stroke on="f"/>
                  <v:imagedata r:id="rId6" o:title="a853391e1afe0d145fa24075ed2a165"/>
                  <o:lock v:ext="edit" aspectratio="t"/>
                  <w10:wrap type="none"/>
                  <w10:anchorlock/>
                </v:shape>
              </w:pict>
            </w:r>
          </w:p>
        </w:tc>
      </w:tr>
      <w:tr w14:paraId="4F53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4A1B3DBC">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3</w:t>
            </w:r>
          </w:p>
        </w:tc>
        <w:tc>
          <w:tcPr>
            <w:tcW w:w="510" w:type="dxa"/>
            <w:vMerge w:val="continue"/>
            <w:tcBorders>
              <w:left w:val="single" w:color="000000" w:sz="4" w:space="0"/>
              <w:bottom w:val="single" w:color="auto" w:sz="4" w:space="0"/>
              <w:right w:val="single" w:color="000000" w:sz="4" w:space="0"/>
            </w:tcBorders>
            <w:shd w:val="clear" w:color="auto" w:fill="FFFFFF"/>
            <w:noWrap w:val="0"/>
            <w:vAlign w:val="center"/>
          </w:tcPr>
          <w:p w14:paraId="42819AC2">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FFB326">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定制木质壁挂柜（一组木质对开门，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一组钢化玻璃推拉门）</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996E84">
            <w:pPr>
              <w:snapToGrid w:val="0"/>
              <w:spacing w:line="240" w:lineRule="auto"/>
              <w:jc w:val="center"/>
              <w:rPr>
                <w:rFonts w:hint="eastAsia" w:ascii="宋体" w:hAnsi="宋体" w:eastAsia="宋体" w:cs="宋体"/>
                <w:position w:val="-2"/>
                <w:sz w:val="22"/>
                <w:szCs w:val="22"/>
                <w:lang w:val="en-US" w:eastAsia="zh-CN"/>
              </w:rPr>
            </w:pPr>
            <w:r>
              <w:rPr>
                <w:rFonts w:hint="eastAsia" w:ascii="宋体" w:hAnsi="宋体" w:eastAsia="宋体" w:cs="宋体"/>
                <w:i w:val="0"/>
                <w:iCs w:val="0"/>
                <w:color w:val="000000"/>
                <w:kern w:val="0"/>
                <w:sz w:val="22"/>
                <w:szCs w:val="22"/>
                <w:u w:val="none"/>
                <w:lang w:val="en-US" w:eastAsia="zh-CN" w:bidi="ar"/>
              </w:rPr>
              <w:t>尺寸约1000*500*640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07BB4">
            <w:pPr>
              <w:keepNext w:val="0"/>
              <w:keepLines w:val="0"/>
              <w:widowControl/>
              <w:suppressLineNumbers w:val="0"/>
              <w:snapToGrid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实木板要求达到或优于国标E1级环保标准 (提供检测报告)，厚度≥18mm.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封边：采用同色 ABS 全自动封边，厚度≥1.5mm，表面应无皱纹、裂纹、染色线、无明显的气泡、针孔、划痕等瑕疵。钢化玻璃 厚度≥5mm。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五金配件：缓冲阻尼铰链。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环保标准：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板材甲醛释放量符合 GB 18580-2017 《室内装饰装修材料 人造板及其制品中甲醛释放限量》中的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E1级 (≤ 0.124mg/m³) 或更高标准 (如E0级)。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五金配件：缓冲阻尼铰。锁具：铝合金拉手。锁头，钥匙插拔灵活，无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卡滞现象。</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80DF4">
            <w:pPr>
              <w:snapToGrid w:val="0"/>
              <w:spacing w:line="460" w:lineRule="exact"/>
              <w:jc w:val="center"/>
              <w:rPr>
                <w:rFonts w:hint="eastAsia"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BECFD">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组</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95ACB">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750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9B2D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position w:val="-2"/>
                <w:sz w:val="22"/>
                <w:szCs w:val="22"/>
              </w:rPr>
            </w:pPr>
            <w:r>
              <w:rPr>
                <w:rFonts w:ascii="宋体" w:eastAsia="宋体"/>
                <w:sz w:val="22"/>
              </w:rPr>
              <w:pict>
                <v:shape id="_x0000_i1035" o:spt="75" alt="ee1e22aaf37f676f2ffaf5f3fdf9082" type="#_x0000_t75" style="height:67.95pt;width:51pt;" filled="f" o:preferrelative="t" stroked="f" coordsize="21600,21600">
                  <v:path/>
                  <v:fill on="f" focussize="0,0"/>
                  <v:stroke on="f"/>
                  <v:imagedata r:id="rId7" o:title="ee1e22aaf37f676f2ffaf5f3fdf9082"/>
                  <o:lock v:ext="edit" aspectratio="t"/>
                  <w10:wrap type="none"/>
                  <w10:anchorlock/>
                </v:shape>
              </w:pict>
            </w:r>
          </w:p>
        </w:tc>
      </w:tr>
      <w:tr w14:paraId="7BFA2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EF0064">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4</w:t>
            </w:r>
          </w:p>
        </w:tc>
        <w:tc>
          <w:tcPr>
            <w:tcW w:w="51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A35D45">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人事科教部</w:t>
            </w: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37E27D4">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折叠桌</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756F6B">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长宽高约1400mm*450mm*750mm（±10mm）</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B780ED">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一、桌面材质与工艺：</w:t>
            </w:r>
          </w:p>
          <w:p w14:paraId="506F9A3E">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基材：优质环保中密度纤维板 (MDF)、刨花板 (Particle Board， 需高密度) 或实木多层板。</w:t>
            </w:r>
          </w:p>
          <w:p w14:paraId="6E4F68CC">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要求达到或优于国标E1级环保标准 (提供检测报告)。</w:t>
            </w:r>
          </w:p>
          <w:p w14:paraId="618FAE8A">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饰面：三聚氰胺浸渍纸 (Melamine)、防火板 (HPL)、实木皮贴面 (Veneer)、或优质环保油漆 (Lacquer)。</w:t>
            </w:r>
          </w:p>
          <w:p w14:paraId="32C1BC8D">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要求：表面耐磨、耐刮、耐污、易清洁。抗冲击，不易开裂、起泡、脱层。</w:t>
            </w:r>
          </w:p>
          <w:p w14:paraId="55677C4E">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边部封边严密、牢固、平整光滑，无脱胶、翘边现象。如采用PVC或ABS同色封边条，厚度≥ 2mm。</w:t>
            </w:r>
          </w:p>
          <w:p w14:paraId="67467289">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框架与支撑结构：框架材质：优质冷轧钢板 (厚度 ≥ 1.2mm)、高强度铝合金型材 (壁厚 ≥ 1.5mm) 或坚固硬木。</w:t>
            </w:r>
          </w:p>
          <w:p w14:paraId="69F1D483">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桌腿/支撑脚：材质：与框架匹配的金属或高强度工程塑料。</w:t>
            </w:r>
          </w:p>
          <w:p w14:paraId="3548EB0D">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结构：稳固可靠，可折叠收拢或带有可调节脚垫 (调节范围 ≥ ±5mm)，以适应轻微不平整地面。</w:t>
            </w:r>
          </w:p>
          <w:p w14:paraId="16362A56">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脚垫/滑轮 (可选)：固定脚垫： 优质橡胶/PVC脚垫，防滑、耐磨、不伤地板。</w:t>
            </w:r>
          </w:p>
          <w:p w14:paraId="744569E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带轮设计：桌腿带万向刹车轮 (≥2个)，轮子需静音、承重好、带锁定功能。其余桌腿为固定脚垫。</w:t>
            </w:r>
          </w:p>
          <w:p w14:paraId="6A30EE43">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折叠类型：中心对折式、蝴蝶式折叠、或其他成熟可靠的折叠方式。</w:t>
            </w:r>
          </w:p>
          <w:p w14:paraId="4CE6E9A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要求：操作便捷：开合顺畅，省力。应有明确的操作指示或解锁装置。</w:t>
            </w:r>
          </w:p>
          <w:p w14:paraId="1DB60A53">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安全可靠：具备安全锁定装置 (展开时自动锁定或手动锁定)，使用中不会意外折叠。折叠处应有防夹手设计。</w:t>
            </w:r>
          </w:p>
          <w:p w14:paraId="5B732DD3">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耐用性： 铰链、转轴等关键五金件应采用优质钢材或合金，强度高、耐磨、耐腐蚀，开合寿命 ≥ 10,000 次无损坏、无严重松动异响。</w:t>
            </w:r>
          </w:p>
          <w:p w14:paraId="60D2E73C">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稳定性：展开后整体结构稳固，无明显晃动。</w:t>
            </w:r>
          </w:p>
          <w:p w14:paraId="4CC8B260">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二、承重性能：</w:t>
            </w:r>
          </w:p>
          <w:p w14:paraId="3616C6C2">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静态承重：桌面均匀承重 ≥ 150kg时，桌面下沉量 ≤ 3mm，结构无永久变形、异响。</w:t>
            </w:r>
          </w:p>
          <w:p w14:paraId="71E21D93">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桌面边缘承重：桌面边缘 (离边沿 50mm 处) 承受 ≥ 60kg 压力时，无明显下塌变形。</w:t>
            </w:r>
          </w:p>
          <w:p w14:paraId="6A07DCD7">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表面处理：金属部件 (框架、桌腿、五金件) 应进行防锈处理 (如磷化、喷塑、电镀、氧化等)，涂层均匀、牢固、无色差、无流挂、无剥落。</w:t>
            </w:r>
          </w:p>
          <w:p w14:paraId="7159406E">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颜色需与整体设计协调。塑料部件应色泽均匀，无毛刺，无变形。</w:t>
            </w:r>
          </w:p>
          <w:p w14:paraId="1BB4AC2D">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三、安全与环保要求</w:t>
            </w:r>
          </w:p>
          <w:p w14:paraId="09751297">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结构安全：边角应做圆角或倒角处理，无尖锐突出物。折叠机构防夹手。</w:t>
            </w:r>
          </w:p>
          <w:p w14:paraId="110BC2DE">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稳定性：通过稳定性测试，不易倾翻。</w:t>
            </w:r>
          </w:p>
          <w:p w14:paraId="62FDE197">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环保标准：板材甲醛释放量符合 GB 18580-2017 《室内装饰装修材料 人造板及其制品中甲醛释放限量》中的</w:t>
            </w:r>
          </w:p>
          <w:p w14:paraId="18D54D55">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E1级 (≤ 0.124mg/m³) 或更高标准 (如E0级)。</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62E583">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28</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8ED4FF">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张</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2AC6CF">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400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7548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36" o:spt="75" alt="微信图片_20250721114445" type="#_x0000_t75" style="height:61.85pt;width:54.4pt;" filled="f" o:preferrelative="t" stroked="f" coordsize="21600,21600">
                  <v:path/>
                  <v:fill on="f" focussize="0,0"/>
                  <v:stroke on="f"/>
                  <v:imagedata r:id="rId8" o:title=""/>
                  <o:lock v:ext="edit" aspectratio="t"/>
                  <w10:wrap type="none"/>
                  <w10:anchorlock/>
                </v:shape>
              </w:pict>
            </w:r>
          </w:p>
        </w:tc>
      </w:tr>
      <w:tr w14:paraId="4D807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3998B7">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5</w:t>
            </w:r>
          </w:p>
        </w:tc>
        <w:tc>
          <w:tcPr>
            <w:tcW w:w="51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D5B60D">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F5C7076">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办公椅</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A9CBEB">
            <w:pPr>
              <w:snapToGrid w:val="0"/>
              <w:spacing w:line="24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常规</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D8104">
            <w:pPr>
              <w:keepNext w:val="0"/>
              <w:keepLines w:val="0"/>
              <w:widowControl/>
              <w:suppressLineNumbers w:val="0"/>
              <w:snapToGrid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款式：四角拆装设计，面料：透气网布/加厚设计，移架：加粗管壁/承重升级，工艺：人体工学原理设计，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椅背设计：亲肤透气面料，扶手设计：舒适加宽设计，腰托：加宽/曲线设计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坐垫：加厚设计，脚垫：耐磨静音，钢架：管壁加粗设计。</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3B5AEF">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56</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D39FFF">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把</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6C05CF">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220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394E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37" o:spt="75" alt="ac0112b648a48b6e2c73ea7011653506" type="#_x0000_t75" style="height:64.9pt;width:62.85pt;" filled="f" o:preferrelative="t" stroked="f" coordsize="21600,21600">
                  <v:path/>
                  <v:fill on="f" focussize="0,0"/>
                  <v:stroke on="f"/>
                  <v:imagedata r:id="rId9" o:title="ac0112b648a48b6e2c73ea7011653506"/>
                  <o:lock v:ext="edit" aspectratio="t"/>
                  <w10:wrap type="none"/>
                  <w10:anchorlock/>
                </v:shape>
              </w:pict>
            </w:r>
          </w:p>
        </w:tc>
      </w:tr>
      <w:tr w14:paraId="692FD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AAEB8C">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6</w:t>
            </w:r>
          </w:p>
        </w:tc>
        <w:tc>
          <w:tcPr>
            <w:tcW w:w="51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5D6EB4">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6FC514C">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bookmarkStart w:id="1" w:name="OLE_LINK1"/>
            <w:r>
              <w:rPr>
                <w:rFonts w:hint="eastAsia" w:ascii="宋体" w:hAnsi="宋体" w:eastAsia="宋体" w:cs="宋体"/>
                <w:i w:val="0"/>
                <w:iCs w:val="0"/>
                <w:color w:val="000000"/>
                <w:kern w:val="0"/>
                <w:sz w:val="22"/>
                <w:szCs w:val="22"/>
                <w:u w:val="none"/>
                <w:lang w:val="en-US" w:eastAsia="zh-CN" w:bidi="ar"/>
              </w:rPr>
              <w:t>48门自设码储物柜</w:t>
            </w:r>
            <w:bookmarkEnd w:id="1"/>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AF2BC">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p>
          <w:p w14:paraId="7644FF60">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高1.8米*长3.4米*深0.46米</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137C3">
            <w:pPr>
              <w:keepNext w:val="0"/>
              <w:keepLines w:val="0"/>
              <w:widowControl/>
              <w:suppressLineNumbers w:val="0"/>
              <w:snapToGrid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优质冷轧钢，主框架及背板厚度≥1.0mm，柜门门板厚度≥0.8mm,表面处理：经磷化、除锈、防锈处理后，采用环保材料静电喷塑，涂层均匀、抗划伤、耐腐蚀。颜色蓝色，柜门开启：铰链式侧开，开启角度≥90°，格口规格待选。铰链需耐用，支持超过10万次开合。支持用户自设密码完成存件及取件，系统需保证密码的唯一性和有效性。集成高灵敏度触摸显示屏，尺寸≥7英寸，提供清晰语音提示和图形化操作引导。每个柜门配双色LED指示灯.同时支持本地管理与远程网络管理。每个格口独立配备电控磁力锁或电插锁，断电常开（符合消防要求），动作可靠。工业级嵌入式主板，低功耗、高稳定性。必须支持多种联网方式，必须配备不间断备用电池，断电后可支持整套系统正常运行≥8小时。预留USB或RJ45接口，可外接摄像头，实现存/取件过程拍照留证功能。产品需通过CE、ROHS认证，并提供检测报告。</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2D5D18">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7925B6">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组</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416B2">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5000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DC9AD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38" o:spt="75" type="#_x0000_t75" style="height:47.5pt;width:56pt;" filled="f" o:preferrelative="t" stroked="f" coordsize="21600,21600">
                  <v:path/>
                  <v:fill on="f" focussize="0,0"/>
                  <v:stroke on="f"/>
                  <v:imagedata r:id="rId10" o:title=""/>
                  <o:lock v:ext="edit" aspectratio="t"/>
                  <w10:wrap type="none"/>
                  <w10:anchorlock/>
                </v:shape>
              </w:pict>
            </w:r>
          </w:p>
        </w:tc>
      </w:tr>
      <w:tr w14:paraId="181DF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2C97D8">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7</w:t>
            </w:r>
          </w:p>
        </w:tc>
        <w:tc>
          <w:tcPr>
            <w:tcW w:w="510" w:type="dxa"/>
            <w:vMerge w:val="restart"/>
            <w:tcBorders>
              <w:top w:val="single" w:color="auto" w:sz="4" w:space="0"/>
              <w:left w:val="single" w:color="auto" w:sz="4" w:space="0"/>
              <w:right w:val="single" w:color="auto" w:sz="4" w:space="0"/>
            </w:tcBorders>
            <w:shd w:val="clear" w:color="auto" w:fill="FFFFFF"/>
            <w:noWrap w:val="0"/>
            <w:vAlign w:val="center"/>
          </w:tcPr>
          <w:p w14:paraId="59815357">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肛肠医学中心</w:t>
            </w: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8364C14">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会议桌</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EB3BA6">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长240*宽120*高75CM</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129A6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1.材质：桌面建议采用实木或优质仿实木板材，要求达到或优于国标E1级环保标准 (提供检测报告)，保证耐用性与美观度；桌面厚度≥80㎜，未注明的板材厚度均≥25㎜。</w:t>
            </w:r>
          </w:p>
          <w:p w14:paraId="46D041BB">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封边：ABS全自动封边条的厚度≥1.5㎜，采用PVC同色封边条，全自动封边机封边、修边，封边后无脱胶、漏胶、鼓泡或开裂现象。</w:t>
            </w:r>
          </w:p>
          <w:p w14:paraId="5BE7148E">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贴面材料：采用人造板饰面专用纸，具有耐磨、耐刮、防火、抗污染等性能。连接件：采用三合一连接件，桌腿为金属材质，确保稳固性。</w:t>
            </w:r>
          </w:p>
          <w:p w14:paraId="12BAE81C">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2.颜色：发深胡桃色。</w:t>
            </w:r>
          </w:p>
          <w:p w14:paraId="0B736B22">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3.容纳人数：约可坐10人。</w:t>
            </w:r>
          </w:p>
          <w:p w14:paraId="105535D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环保标准：板材甲醛释放量符合 GB 18580-2017 《室内装饰装修材料 人造板及其制品中甲醛释放限量》中的</w:t>
            </w:r>
          </w:p>
          <w:p w14:paraId="60B36028">
            <w:pPr>
              <w:keepNext w:val="0"/>
              <w:keepLines w:val="0"/>
              <w:widowControl/>
              <w:suppressLineNumbers w:val="0"/>
              <w:snapToGrid w:val="0"/>
              <w:jc w:val="left"/>
              <w:textAlignment w:val="center"/>
              <w:rPr>
                <w:rFonts w:hint="eastAsia" w:ascii="宋体" w:eastAsia="宋体"/>
                <w:sz w:val="22"/>
                <w:lang w:val="en-US" w:eastAsia="zh-CN"/>
              </w:rPr>
            </w:pPr>
            <w:r>
              <w:rPr>
                <w:rFonts w:hint="eastAsia" w:ascii="宋体" w:hAnsi="宋体" w:eastAsia="宋体" w:cs="宋体"/>
                <w:i w:val="0"/>
                <w:iCs w:val="0"/>
                <w:color w:val="000000"/>
                <w:kern w:val="0"/>
                <w:sz w:val="22"/>
                <w:szCs w:val="22"/>
                <w:u w:val="none"/>
                <w:lang w:val="en-US" w:eastAsia="zh-CN" w:bidi="ar"/>
              </w:rPr>
              <w:t>E1级 (≤ 0.124mg/m³) 或更高标准 (如E0级)。</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4F615A">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4DBD65">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张</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D987F6">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1300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BDBD41">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39" o:spt="75" type="#_x0000_t75" style="height:92.15pt;width:58.2pt;" filled="f" o:preferrelative="t" stroked="f" coordsize="21600,21600">
                  <v:path/>
                  <v:fill on="f" focussize="0,0"/>
                  <v:stroke on="f"/>
                  <v:imagedata r:id="rId11" o:title=""/>
                  <o:lock v:ext="edit" aspectratio="f"/>
                  <w10:wrap type="none"/>
                  <w10:anchorlock/>
                </v:shape>
              </w:pict>
            </w:r>
          </w:p>
        </w:tc>
      </w:tr>
      <w:tr w14:paraId="63B20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6590A8">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8</w:t>
            </w:r>
          </w:p>
        </w:tc>
        <w:tc>
          <w:tcPr>
            <w:tcW w:w="510" w:type="dxa"/>
            <w:vMerge w:val="continue"/>
            <w:tcBorders>
              <w:left w:val="single" w:color="auto" w:sz="4" w:space="0"/>
              <w:bottom w:val="single" w:color="auto" w:sz="4" w:space="0"/>
              <w:right w:val="single" w:color="auto" w:sz="4" w:space="0"/>
            </w:tcBorders>
            <w:shd w:val="clear" w:color="auto" w:fill="FFFFFF"/>
            <w:noWrap w:val="0"/>
            <w:vAlign w:val="center"/>
          </w:tcPr>
          <w:p w14:paraId="191C2506">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22DA79">
            <w:pPr>
              <w:keepNext w:val="0"/>
              <w:keepLines w:val="0"/>
              <w:widowControl/>
              <w:suppressLineNumbers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办公椅</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FB56D3">
            <w:pPr>
              <w:snapToGrid w:val="0"/>
              <w:spacing w:line="24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常规</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D1E746">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款式：四角拆装设计，面料：透气网布/加厚设计，移架：加粗管壁/承重升级，工艺：人体工学原理设计，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椅背设计：亲肤透气面料，扶手设计：舒适加宽设计，腰托：加宽/曲线设计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坐垫：加厚设计，脚垫：耐磨静音，钢架：管壁加粗设计。</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F7AEC3">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6</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7E2F4A">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把</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362528">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220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063E0C">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40" o:spt="75" alt="ac0112b648a48b6e2c73ea7011653506" type="#_x0000_t75" style="height:64.9pt;width:62.85pt;" filled="f" o:preferrelative="t" stroked="f" coordsize="21600,21600">
                  <v:path/>
                  <v:fill on="f" focussize="0,0"/>
                  <v:stroke on="f"/>
                  <v:imagedata r:id="rId9" o:title="ac0112b648a48b6e2c73ea7011653506"/>
                  <o:lock v:ext="edit" aspectratio="t"/>
                  <w10:wrap type="none"/>
                  <w10:anchorlock/>
                </v:shape>
              </w:pict>
            </w:r>
          </w:p>
        </w:tc>
      </w:tr>
      <w:tr w14:paraId="120D0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E248BA">
            <w:pPr>
              <w:snapToGrid w:val="0"/>
              <w:spacing w:line="240" w:lineRule="auto"/>
              <w:jc w:val="center"/>
              <w:rPr>
                <w:rFonts w:hint="eastAsia" w:ascii="宋体" w:hAnsi="宋体" w:eastAsia="宋体" w:cs="宋体"/>
                <w:position w:val="-2"/>
                <w:sz w:val="22"/>
                <w:szCs w:val="22"/>
                <w:lang w:val="en-US" w:eastAsia="zh-CN"/>
              </w:rPr>
            </w:pPr>
          </w:p>
        </w:tc>
        <w:tc>
          <w:tcPr>
            <w:tcW w:w="510" w:type="dxa"/>
            <w:vMerge w:val="restart"/>
            <w:tcBorders>
              <w:top w:val="single" w:color="auto" w:sz="4" w:space="0"/>
              <w:left w:val="single" w:color="auto" w:sz="4" w:space="0"/>
              <w:right w:val="single" w:color="auto" w:sz="4" w:space="0"/>
            </w:tcBorders>
            <w:shd w:val="clear" w:color="auto" w:fill="FFFFFF"/>
            <w:noWrap w:val="0"/>
            <w:vAlign w:val="center"/>
          </w:tcPr>
          <w:p w14:paraId="69E17E61">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金家庄社区</w:t>
            </w: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8D024D">
            <w:pPr>
              <w:keepNext w:val="0"/>
              <w:keepLines w:val="0"/>
              <w:widowControl/>
              <w:suppressLineNumbers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中医馆诊疗桌</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6D2664">
            <w:pPr>
              <w:snapToGrid w:val="0"/>
              <w:spacing w:line="24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长1400*宽700*高800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10F97">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乌金木框架，桌面实木材质，要求达到或优于国标E1级环保标准 (提供检测报告)，厚度≥25mm</w:t>
            </w:r>
          </w:p>
          <w:p w14:paraId="5969D70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环保标准：板材甲醛释放量符合 GB 18580-2017 《室内装饰装修材料 人造板及其制品中甲醛释放限量》中的</w:t>
            </w:r>
          </w:p>
          <w:p w14:paraId="60FDFEF2">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E1级 (≤ 0.124mg/m³) 或更高标准 (如E0级)。</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AFA66">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A69BA">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张</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8DF8F">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1900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8E63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41" o:spt="75" alt="bd3fa3bc42b700b4a1243f5f1a3a6024" type="#_x0000_t75" style="height:46.6pt;width:55.15pt;" filled="f" o:preferrelative="t" stroked="f" coordsize="21600,21600">
                  <v:path/>
                  <v:fill on="f" focussize="0,0"/>
                  <v:stroke on="f"/>
                  <v:imagedata r:id="rId12" o:title=""/>
                  <o:lock v:ext="edit" aspectratio="t"/>
                  <w10:wrap type="none"/>
                  <w10:anchorlock/>
                </v:shape>
              </w:pict>
            </w:r>
          </w:p>
        </w:tc>
      </w:tr>
      <w:tr w14:paraId="3666F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229294">
            <w:pPr>
              <w:snapToGrid w:val="0"/>
              <w:spacing w:line="240" w:lineRule="auto"/>
              <w:jc w:val="center"/>
              <w:rPr>
                <w:rFonts w:hint="eastAsia" w:ascii="宋体" w:hAnsi="宋体" w:eastAsia="宋体" w:cs="宋体"/>
                <w:position w:val="-2"/>
                <w:sz w:val="22"/>
                <w:szCs w:val="22"/>
                <w:lang w:val="en-US" w:eastAsia="zh-CN"/>
              </w:rPr>
            </w:pPr>
          </w:p>
        </w:tc>
        <w:tc>
          <w:tcPr>
            <w:tcW w:w="510" w:type="dxa"/>
            <w:vMerge w:val="continue"/>
            <w:tcBorders>
              <w:left w:val="single" w:color="auto" w:sz="4" w:space="0"/>
              <w:right w:val="single" w:color="auto" w:sz="4" w:space="0"/>
            </w:tcBorders>
            <w:shd w:val="clear" w:color="auto" w:fill="FFFFFF"/>
            <w:noWrap w:val="0"/>
            <w:vAlign w:val="center"/>
          </w:tcPr>
          <w:p w14:paraId="5C8F574E">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9B3DD5E">
            <w:pPr>
              <w:keepNext w:val="0"/>
              <w:keepLines w:val="0"/>
              <w:widowControl/>
              <w:suppressLineNumbers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中医馆诊疗椅</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E7CF62">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长560*宽490*高840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8BFC7">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椅面实木材质，要求达到或优于国标E1级环保标准 (提供检测报告)，</w:t>
            </w:r>
          </w:p>
          <w:p w14:paraId="4DCCE1C7">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环保标准：板材甲醛释放量符合 GB 18580-2017 《室内装饰装修材料 人造板及其制品中甲醛释放限量》中的</w:t>
            </w:r>
          </w:p>
          <w:p w14:paraId="653125E9">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E1级 (≤ 0.124mg/m³) 或更高标准 (如E0级)。</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833A1">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83506">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把</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346D7">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750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85C33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51" o:spt="75" alt="b41806320875dcadb24c0abb506f034d" type="#_x0000_t75" style="height:57.8pt;width:60.2pt;" filled="f" o:preferrelative="t" stroked="f" coordsize="21600,21600">
                  <v:path/>
                  <v:fill on="f" focussize="0,0"/>
                  <v:stroke on="f"/>
                  <v:imagedata r:id="rId13" o:title=""/>
                  <o:lock v:ext="edit" aspectratio="t"/>
                  <w10:wrap type="none"/>
                  <w10:anchorlock/>
                </v:shape>
              </w:pict>
            </w:r>
          </w:p>
        </w:tc>
      </w:tr>
      <w:tr w14:paraId="51E01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56CF5D">
            <w:pPr>
              <w:snapToGrid w:val="0"/>
              <w:spacing w:line="240" w:lineRule="auto"/>
              <w:jc w:val="center"/>
              <w:rPr>
                <w:rFonts w:hint="eastAsia" w:ascii="宋体" w:hAnsi="宋体" w:eastAsia="宋体" w:cs="宋体"/>
                <w:position w:val="-2"/>
                <w:sz w:val="22"/>
                <w:szCs w:val="22"/>
                <w:lang w:val="en-US" w:eastAsia="zh-CN"/>
              </w:rPr>
            </w:pPr>
          </w:p>
        </w:tc>
        <w:tc>
          <w:tcPr>
            <w:tcW w:w="510" w:type="dxa"/>
            <w:vMerge w:val="continue"/>
            <w:tcBorders>
              <w:left w:val="single" w:color="auto" w:sz="4" w:space="0"/>
              <w:right w:val="single" w:color="auto" w:sz="4" w:space="0"/>
            </w:tcBorders>
            <w:shd w:val="clear" w:color="auto" w:fill="FFFFFF"/>
            <w:noWrap w:val="0"/>
            <w:vAlign w:val="center"/>
          </w:tcPr>
          <w:p w14:paraId="46977AE0">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69691C">
            <w:pPr>
              <w:keepNext w:val="0"/>
              <w:keepLines w:val="0"/>
              <w:widowControl/>
              <w:suppressLineNumbers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中医馆就诊坐凳</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6514B8">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长450*宽350*高450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87D8C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实木材质要求达到或优于国标E1级环保标准 (提供检测报告)，</w:t>
            </w:r>
          </w:p>
          <w:p w14:paraId="5FB03AD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环保标准：板材甲醛释放量符合 GB 18580-2017 《室内装饰装修材料 人造板及其制品中甲醛释放限量》中的</w:t>
            </w:r>
          </w:p>
          <w:p w14:paraId="0EF2DE8C">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E1级 (≤ 0.124mg/m³) 或更高标准 (如E0级)。</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BD9768">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2</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1435E3">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个</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6FA143">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500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74C09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52" o:spt="75" alt="49a17fed39b421627ffa7ad5d4ce998c" type="#_x0000_t75" style="height:48.05pt;width:54.1pt;" filled="f" o:preferrelative="t" stroked="f" coordsize="21600,21600">
                  <v:path/>
                  <v:fill on="f" focussize="0,0"/>
                  <v:stroke on="f"/>
                  <v:imagedata r:id="rId14" o:title=""/>
                  <o:lock v:ext="edit" aspectratio="t"/>
                  <w10:wrap type="none"/>
                  <w10:anchorlock/>
                </v:shape>
              </w:pict>
            </w:r>
          </w:p>
        </w:tc>
      </w:tr>
      <w:tr w14:paraId="295B8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7AB82D">
            <w:pPr>
              <w:snapToGrid w:val="0"/>
              <w:spacing w:line="240" w:lineRule="auto"/>
              <w:jc w:val="center"/>
              <w:rPr>
                <w:rFonts w:hint="eastAsia" w:ascii="宋体" w:hAnsi="宋体" w:eastAsia="宋体" w:cs="宋体"/>
                <w:position w:val="-2"/>
                <w:sz w:val="22"/>
                <w:szCs w:val="22"/>
                <w:lang w:val="en-US" w:eastAsia="zh-CN"/>
              </w:rPr>
            </w:pPr>
          </w:p>
        </w:tc>
        <w:tc>
          <w:tcPr>
            <w:tcW w:w="510" w:type="dxa"/>
            <w:vMerge w:val="continue"/>
            <w:tcBorders>
              <w:left w:val="single" w:color="auto" w:sz="4" w:space="0"/>
              <w:bottom w:val="single" w:color="auto" w:sz="4" w:space="0"/>
              <w:right w:val="single" w:color="auto" w:sz="4" w:space="0"/>
            </w:tcBorders>
            <w:shd w:val="clear" w:color="auto" w:fill="FFFFFF"/>
            <w:noWrap w:val="0"/>
            <w:vAlign w:val="center"/>
          </w:tcPr>
          <w:p w14:paraId="1E7EDA6A">
            <w:pPr>
              <w:snapToGrid w:val="0"/>
              <w:spacing w:line="240" w:lineRule="auto"/>
              <w:jc w:val="center"/>
              <w:rPr>
                <w:rFonts w:hint="eastAsia" w:ascii="宋体" w:hAnsi="宋体" w:eastAsia="宋体" w:cs="宋体"/>
                <w:position w:val="-2"/>
                <w:sz w:val="22"/>
                <w:szCs w:val="22"/>
                <w:lang w:val="en-US" w:eastAsia="zh-CN"/>
              </w:rPr>
            </w:pP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7CDD6A">
            <w:pPr>
              <w:keepNext w:val="0"/>
              <w:keepLines w:val="0"/>
              <w:widowControl/>
              <w:suppressLineNumbers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患者等候连排椅（四人位）</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506E4">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长2320*宽650*高760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AC22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坐面：外型根据人体工程学设计，采用厚度1.0mm加硬冷扎钢板冲压成型</w:t>
            </w:r>
          </w:p>
          <w:p w14:paraId="7B9A3F3F">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横梁：采用150mm*105mm*105mm三角形冷轧钢管，厚度约1.2mm。表面喷银灰色金属漆</w:t>
            </w:r>
          </w:p>
          <w:p w14:paraId="53583D99">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扶手：冷轧钢扁管弯曲成形，厚度1.0mm,OTC全自动焊接。经焊接抛光打磨防锈处理，表面喷闪光银金属漆。</w:t>
            </w:r>
          </w:p>
          <w:p w14:paraId="2EB67FC6">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脚：采用约1.1mm厚冷扎钢板冲压成形，250T深拉成型技术，全自动MIG焊接技术</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9EA029">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6</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CA84C">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张</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F88C9C">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920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938D5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55" o:spt="75" alt="8a23d9b017e3ace8f941e6195ec80823" type="#_x0000_t75" style="height:37.05pt;width:53.15pt;" filled="f" o:preferrelative="t" stroked="f" coordsize="21600,21600">
                  <v:path/>
                  <v:fill on="f" focussize="0,0"/>
                  <v:stroke on="f"/>
                  <v:imagedata r:id="rId15" o:title=""/>
                  <o:lock v:ext="edit" aspectratio="t"/>
                  <w10:wrap type="none"/>
                  <w10:anchorlock/>
                </v:shape>
              </w:pict>
            </w:r>
          </w:p>
        </w:tc>
      </w:tr>
      <w:tr w14:paraId="3A021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40" w:type="dxa"/>
            <w:left w:w="64" w:type="dxa"/>
            <w:bottom w:w="40" w:type="dxa"/>
            <w:right w:w="64" w:type="dxa"/>
          </w:tblCellMar>
        </w:tblPrEx>
        <w:trPr>
          <w:trHeight w:val="0" w:hRule="atLeast"/>
          <w:jc w:val="center"/>
        </w:trPr>
        <w:tc>
          <w:tcPr>
            <w:tcW w:w="4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A3E8FD">
            <w:pPr>
              <w:snapToGrid w:val="0"/>
              <w:spacing w:line="240" w:lineRule="auto"/>
              <w:jc w:val="center"/>
              <w:rPr>
                <w:rFonts w:hint="eastAsia" w:ascii="宋体" w:hAnsi="宋体" w:eastAsia="宋体" w:cs="宋体"/>
                <w:position w:val="-2"/>
                <w:sz w:val="22"/>
                <w:szCs w:val="22"/>
                <w:lang w:val="en-US" w:eastAsia="zh-CN"/>
              </w:rPr>
            </w:pPr>
          </w:p>
        </w:tc>
        <w:tc>
          <w:tcPr>
            <w:tcW w:w="5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FCE366">
            <w:pPr>
              <w:snapToGrid w:val="0"/>
              <w:spacing w:line="240" w:lineRule="auto"/>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南院门诊</w:t>
            </w:r>
          </w:p>
        </w:tc>
        <w:tc>
          <w:tcPr>
            <w:tcW w:w="139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AC8C21">
            <w:pPr>
              <w:keepNext w:val="0"/>
              <w:keepLines w:val="0"/>
              <w:widowControl/>
              <w:suppressLineNumbers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患者等候连排椅（四人位）</w:t>
            </w:r>
          </w:p>
        </w:tc>
        <w:tc>
          <w:tcPr>
            <w:tcW w:w="23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27B59">
            <w:pPr>
              <w:snapToGrid w:val="0"/>
              <w:spacing w:line="24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长2320*宽650*高760</w:t>
            </w:r>
          </w:p>
        </w:tc>
        <w:tc>
          <w:tcPr>
            <w:tcW w:w="5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0FD64E">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坐面：外型根据人体工程学设计，采用厚度1.0mm加硬冷扎钢板冲压成型</w:t>
            </w:r>
          </w:p>
          <w:p w14:paraId="1DE1B1E4">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横梁：采用150mm*105mm*105mm三角形冷轧钢管，厚度约1.2mm。表面喷银灰色金属漆</w:t>
            </w:r>
          </w:p>
          <w:p w14:paraId="51D44792">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扶手：冷轧钢扁管弯曲成形，厚度1.0mm,OTC全自动焊接。经焊接抛光打磨防锈处理，表面喷闪光银金属漆。</w:t>
            </w:r>
          </w:p>
          <w:p w14:paraId="4FADE87C">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脚：采用约1.1mm厚冷扎钢板冲压成形，250T深拉成型技术，全自动MIG焊接技术</w:t>
            </w:r>
          </w:p>
        </w:tc>
        <w:tc>
          <w:tcPr>
            <w:tcW w:w="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D0DBF6">
            <w:pPr>
              <w:snapToGrid w:val="0"/>
              <w:spacing w:line="460" w:lineRule="exact"/>
              <w:jc w:val="center"/>
              <w:rPr>
                <w:rFonts w:hint="eastAsia" w:ascii="宋体" w:hAnsi="宋体" w:eastAsia="宋体" w:cs="宋体"/>
                <w:kern w:val="2"/>
                <w:position w:val="-2"/>
                <w:sz w:val="22"/>
                <w:szCs w:val="22"/>
                <w:lang w:val="en-US" w:eastAsia="zh-CN" w:bidi="ar-SA"/>
              </w:rPr>
            </w:pPr>
            <w:r>
              <w:rPr>
                <w:rFonts w:hint="eastAsia" w:ascii="宋体" w:hAnsi="宋体" w:eastAsia="宋体" w:cs="宋体"/>
                <w:position w:val="-2"/>
                <w:sz w:val="22"/>
                <w:szCs w:val="22"/>
                <w:lang w:val="en-US" w:eastAsia="zh-CN"/>
              </w:rPr>
              <w:t>2</w:t>
            </w:r>
          </w:p>
        </w:tc>
        <w:tc>
          <w:tcPr>
            <w:tcW w:w="6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DF0F63">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张</w:t>
            </w:r>
          </w:p>
        </w:tc>
        <w:tc>
          <w:tcPr>
            <w:tcW w:w="1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F0209">
            <w:pPr>
              <w:snapToGrid w:val="0"/>
              <w:spacing w:line="460" w:lineRule="exact"/>
              <w:jc w:val="center"/>
              <w:rPr>
                <w:rFonts w:hint="default" w:ascii="宋体" w:hAnsi="宋体" w:eastAsia="宋体" w:cs="宋体"/>
                <w:position w:val="-2"/>
                <w:sz w:val="22"/>
                <w:szCs w:val="22"/>
                <w:lang w:val="en-US" w:eastAsia="zh-CN"/>
              </w:rPr>
            </w:pPr>
            <w:r>
              <w:rPr>
                <w:rFonts w:hint="eastAsia" w:ascii="宋体" w:hAnsi="宋体" w:eastAsia="宋体" w:cs="宋体"/>
                <w:position w:val="-2"/>
                <w:sz w:val="22"/>
                <w:szCs w:val="22"/>
                <w:lang w:val="en-US" w:eastAsia="zh-CN"/>
              </w:rPr>
              <w:t>920</w:t>
            </w:r>
          </w:p>
        </w:tc>
        <w:tc>
          <w:tcPr>
            <w:tcW w:w="14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324BA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eastAsia="宋体"/>
                <w:sz w:val="22"/>
              </w:rPr>
            </w:pPr>
            <w:r>
              <w:rPr>
                <w:rFonts w:ascii="宋体" w:eastAsia="宋体"/>
                <w:sz w:val="22"/>
              </w:rPr>
              <w:pict>
                <v:shape id="_x0000_i1054" o:spt="75" alt="8a23d9b017e3ace8f941e6195ec80823" type="#_x0000_t75" style="height:37.05pt;width:53.15pt;" filled="f" o:preferrelative="t" stroked="f" coordsize="21600,21600">
                  <v:path/>
                  <v:fill on="f" focussize="0,0"/>
                  <v:stroke on="f"/>
                  <v:imagedata r:id="rId15" o:title=""/>
                  <o:lock v:ext="edit" aspectratio="t"/>
                  <w10:wrap type="none"/>
                  <w10:anchorlock/>
                </v:shape>
              </w:pict>
            </w:r>
          </w:p>
        </w:tc>
      </w:tr>
    </w:tbl>
    <w:p w14:paraId="52CC157B">
      <w:pPr>
        <w:pStyle w:val="5"/>
        <w:rPr>
          <w:rFonts w:hint="eastAsia" w:ascii="宋体" w:hAnsi="宋体" w:eastAsia="宋体" w:cs="Times New Roman"/>
          <w:b/>
          <w:color w:val="FF0000"/>
          <w:sz w:val="24"/>
          <w:szCs w:val="24"/>
        </w:rPr>
      </w:pPr>
      <w:r>
        <w:rPr>
          <w:rFonts w:hint="eastAsia" w:ascii="宋体" w:hAnsi="宋体" w:eastAsia="宋体" w:cs="Times New Roman"/>
          <w:b/>
          <w:color w:val="FF0000"/>
          <w:sz w:val="24"/>
          <w:szCs w:val="24"/>
        </w:rPr>
        <w:t>注：</w:t>
      </w:r>
    </w:p>
    <w:p w14:paraId="78095298">
      <w:pPr>
        <w:pStyle w:val="5"/>
        <w:rPr>
          <w:rFonts w:hint="eastAsia" w:ascii="宋体" w:hAnsi="宋体" w:eastAsia="宋体" w:cs="Times New Roman"/>
          <w:b/>
          <w:color w:val="FF0000"/>
          <w:sz w:val="24"/>
          <w:szCs w:val="24"/>
        </w:rPr>
      </w:pPr>
      <w:r>
        <w:rPr>
          <w:rFonts w:hint="eastAsia" w:ascii="宋体" w:hAnsi="宋体" w:eastAsia="宋体" w:cs="Times New Roman"/>
          <w:b/>
          <w:color w:val="FF0000"/>
          <w:sz w:val="24"/>
          <w:szCs w:val="24"/>
        </w:rPr>
        <w:t>1、如果在技术参数或配置中标明了品牌或产地，则仅供参考，并非指定，投标人可以选用替代的方案，但这种替代整体上要优于或相当于招标文件的相关要求。</w:t>
      </w:r>
    </w:p>
    <w:p w14:paraId="44A5DFC9">
      <w:pPr>
        <w:pStyle w:val="5"/>
        <w:rPr>
          <w:rFonts w:hint="eastAsia" w:ascii="宋体" w:hAnsi="宋体" w:eastAsia="宋体" w:cs="Times New Roman"/>
          <w:b/>
          <w:color w:val="FF0000"/>
          <w:sz w:val="24"/>
          <w:szCs w:val="24"/>
        </w:rPr>
      </w:pPr>
      <w:r>
        <w:rPr>
          <w:rFonts w:hint="eastAsia" w:ascii="宋体" w:hAnsi="宋体" w:eastAsia="宋体" w:cs="Times New Roman"/>
          <w:b/>
          <w:color w:val="FF0000"/>
          <w:sz w:val="24"/>
          <w:szCs w:val="24"/>
        </w:rPr>
        <w:t>2、为鼓励不同品牌的充分竞争，如某货物的某技术参数或要求属于个别品牌专有，则该技术参数及要求不具有限制性，投标人可对该参数或要求进行适当调整，并应当在投标文件中说明调整的理由，且该调整须经评委会审核认可。</w:t>
      </w:r>
    </w:p>
    <w:p w14:paraId="4F89D155">
      <w:pPr>
        <w:pStyle w:val="5"/>
        <w:rPr>
          <w:rFonts w:hint="eastAsia" w:ascii="宋体" w:hAnsi="宋体" w:eastAsia="宋体" w:cs="Times New Roman"/>
          <w:b/>
          <w:color w:val="FF0000"/>
          <w:sz w:val="24"/>
          <w:szCs w:val="24"/>
        </w:rPr>
      </w:pPr>
      <w:r>
        <w:rPr>
          <w:rFonts w:hint="eastAsia" w:ascii="宋体" w:hAnsi="宋体" w:eastAsia="宋体" w:cs="Times New Roman"/>
          <w:b/>
          <w:color w:val="FF0000"/>
          <w:sz w:val="24"/>
          <w:szCs w:val="24"/>
        </w:rPr>
        <w:t>3、所有描述为“支持”的，均表示具备、配置、提供、实现等意思，是要满足技术参数的要求。</w:t>
      </w:r>
    </w:p>
    <w:p w14:paraId="05E099C3">
      <w:pPr>
        <w:pStyle w:val="5"/>
        <w:rPr>
          <w:rFonts w:hint="eastAsia" w:ascii="宋体" w:hAnsi="宋体" w:eastAsia="宋体" w:cs="Times New Roman"/>
          <w:b/>
          <w:color w:val="FF0000"/>
          <w:sz w:val="24"/>
          <w:szCs w:val="24"/>
        </w:rPr>
      </w:pPr>
      <w:r>
        <w:rPr>
          <w:rFonts w:hint="eastAsia" w:ascii="宋体" w:hAnsi="宋体" w:eastAsia="宋体" w:cs="Times New Roman"/>
          <w:b/>
          <w:color w:val="FF0000"/>
          <w:sz w:val="24"/>
          <w:szCs w:val="24"/>
          <w:lang w:val="en-US" w:eastAsia="zh-CN"/>
        </w:rPr>
        <w:t>4</w:t>
      </w:r>
      <w:r>
        <w:rPr>
          <w:rFonts w:hint="eastAsia" w:ascii="宋体" w:hAnsi="宋体" w:eastAsia="宋体" w:cs="Times New Roman"/>
          <w:b/>
          <w:color w:val="FF0000"/>
          <w:sz w:val="24"/>
          <w:szCs w:val="24"/>
        </w:rPr>
        <w:t>、招标文件中用“</w:t>
      </w:r>
      <w:r>
        <w:rPr>
          <w:rFonts w:hint="eastAsia" w:ascii="宋体" w:hAnsi="宋体" w:eastAsia="宋体" w:cs="Times New Roman"/>
          <w:b/>
          <w:color w:val="auto"/>
          <w:sz w:val="24"/>
          <w:szCs w:val="24"/>
        </w:rPr>
        <w:t>★</w:t>
      </w:r>
      <w:r>
        <w:rPr>
          <w:rFonts w:hint="eastAsia" w:ascii="宋体" w:hAnsi="宋体" w:eastAsia="宋体" w:cs="Times New Roman"/>
          <w:b/>
          <w:color w:val="FF0000"/>
          <w:sz w:val="24"/>
          <w:szCs w:val="24"/>
        </w:rPr>
        <w:t>”标注的技术参数为不允许负偏离的实质性要求和条件（如果招标文件中有标注“</w:t>
      </w:r>
      <w:r>
        <w:rPr>
          <w:rFonts w:hint="eastAsia" w:ascii="宋体" w:hAnsi="宋体" w:eastAsia="宋体" w:cs="Times New Roman"/>
          <w:b/>
          <w:color w:val="auto"/>
          <w:sz w:val="24"/>
          <w:szCs w:val="24"/>
        </w:rPr>
        <w:t>★</w:t>
      </w:r>
      <w:r>
        <w:rPr>
          <w:rFonts w:hint="eastAsia" w:ascii="宋体" w:hAnsi="宋体" w:eastAsia="宋体" w:cs="Times New Roman"/>
          <w:b/>
          <w:color w:val="FF0000"/>
          <w:sz w:val="24"/>
          <w:szCs w:val="24"/>
        </w:rPr>
        <w:t>”的技术参数）。投标人对用“</w:t>
      </w:r>
      <w:r>
        <w:rPr>
          <w:rFonts w:hint="eastAsia" w:ascii="宋体" w:hAnsi="宋体" w:eastAsia="宋体" w:cs="Times New Roman"/>
          <w:b/>
          <w:color w:val="auto"/>
          <w:sz w:val="24"/>
          <w:szCs w:val="24"/>
        </w:rPr>
        <w:t>★</w:t>
      </w:r>
      <w:r>
        <w:rPr>
          <w:rFonts w:hint="eastAsia" w:ascii="宋体" w:hAnsi="宋体" w:eastAsia="宋体" w:cs="Times New Roman"/>
          <w:b/>
          <w:color w:val="FF0000"/>
          <w:sz w:val="24"/>
          <w:szCs w:val="24"/>
        </w:rPr>
        <w:t>”标注的技术参数的响应情况须在投标文件中提供相应的证明材料予以证明。</w:t>
      </w:r>
      <w:r>
        <w:rPr>
          <w:rFonts w:hint="eastAsia" w:ascii="宋体" w:hAnsi="宋体" w:eastAsia="宋体" w:cs="Times New Roman"/>
          <w:b/>
          <w:color w:val="FF0000"/>
          <w:sz w:val="24"/>
          <w:szCs w:val="24"/>
          <w:highlight w:val="yellow"/>
        </w:rPr>
        <w:t>投标人的投标文件中提供的相关技术证明文件是指第三方检测机构出具带有CMA标志的检验报告。</w:t>
      </w:r>
      <w:r>
        <w:rPr>
          <w:rFonts w:hint="eastAsia" w:ascii="宋体" w:hAnsi="宋体" w:eastAsia="宋体" w:cs="Times New Roman"/>
          <w:b/>
          <w:color w:val="FF0000"/>
          <w:sz w:val="24"/>
          <w:szCs w:val="24"/>
        </w:rPr>
        <w:t>否则，评委会视为对招标文件中用“</w:t>
      </w:r>
      <w:r>
        <w:rPr>
          <w:rFonts w:hint="eastAsia" w:ascii="宋体" w:hAnsi="宋体" w:eastAsia="宋体" w:cs="Times New Roman"/>
          <w:b/>
          <w:color w:val="auto"/>
          <w:sz w:val="24"/>
          <w:szCs w:val="24"/>
        </w:rPr>
        <w:t>★</w:t>
      </w:r>
      <w:r>
        <w:rPr>
          <w:rFonts w:hint="eastAsia" w:ascii="宋体" w:hAnsi="宋体" w:eastAsia="宋体" w:cs="Times New Roman"/>
          <w:b/>
          <w:color w:val="FF0000"/>
          <w:sz w:val="24"/>
          <w:szCs w:val="24"/>
        </w:rPr>
        <w:t>”标注的技术参数出现负偏离。</w:t>
      </w:r>
    </w:p>
    <w:p w14:paraId="3FA46B26">
      <w:pPr>
        <w:jc w:val="both"/>
        <w:rPr>
          <w:rFonts w:hint="eastAsia" w:asciiTheme="minorEastAsia" w:hAnsiTheme="minorEastAsia" w:eastAsiaTheme="minorEastAsia" w:cstheme="minorEastAsia"/>
          <w:b/>
          <w:color w:val="000000"/>
          <w:sz w:val="24"/>
          <w:szCs w:val="24"/>
          <w:lang w:val="en-US" w:eastAsia="zh-CN"/>
        </w:rPr>
      </w:pPr>
    </w:p>
    <w:p w14:paraId="23D69783">
      <w:pPr>
        <w:rPr>
          <w:rFonts w:hint="eastAsia" w:asciiTheme="minorEastAsia" w:hAnsiTheme="minorEastAsia" w:eastAsiaTheme="minorEastAsia" w:cstheme="minorEastAsia"/>
          <w:b/>
          <w:color w:val="000000"/>
          <w:sz w:val="24"/>
          <w:szCs w:val="24"/>
          <w:lang w:val="en-US" w:eastAsia="zh-CN"/>
        </w:rPr>
        <w:sectPr>
          <w:headerReference r:id="rId3" w:type="default"/>
          <w:footerReference r:id="rId4" w:type="default"/>
          <w:pgSz w:w="16838" w:h="11906" w:orient="landscape"/>
          <w:pgMar w:top="1797" w:right="1440" w:bottom="1797" w:left="1440" w:header="851" w:footer="992" w:gutter="0"/>
          <w:paperSrc/>
          <w:cols w:space="0" w:num="1"/>
          <w:rtlGutter w:val="0"/>
          <w:docGrid w:type="linesAndChars" w:linePitch="319" w:charSpace="640"/>
        </w:sectPr>
      </w:pPr>
      <w:r>
        <w:rPr>
          <w:rFonts w:hint="eastAsia" w:asciiTheme="minorEastAsia" w:hAnsiTheme="minorEastAsia" w:eastAsiaTheme="minorEastAsia" w:cstheme="minorEastAsia"/>
          <w:b/>
          <w:color w:val="000000"/>
          <w:sz w:val="24"/>
          <w:szCs w:val="24"/>
          <w:lang w:val="en-US" w:eastAsia="zh-CN"/>
        </w:rPr>
        <w:br w:type="page"/>
      </w:r>
    </w:p>
    <w:p w14:paraId="3FC52A97">
      <w:pPr>
        <w:pStyle w:val="2"/>
        <w:rPr>
          <w:rFonts w:hint="eastAsia"/>
          <w:lang w:val="en-US" w:eastAsia="zh-CN"/>
        </w:rPr>
      </w:pPr>
    </w:p>
    <w:p w14:paraId="3E36B59E">
      <w:pPr>
        <w:jc w:val="center"/>
        <w:rPr>
          <w:rFonts w:hint="eastAsia" w:asciiTheme="minorEastAsia" w:hAnsiTheme="minorEastAsia" w:eastAsiaTheme="minorEastAsia" w:cstheme="minorEastAsia"/>
          <w:b/>
          <w:color w:val="000000"/>
          <w:sz w:val="24"/>
          <w:szCs w:val="24"/>
          <w:lang w:val="en-US" w:eastAsia="zh-CN"/>
        </w:rPr>
      </w:pPr>
      <w:r>
        <w:rPr>
          <w:rFonts w:hint="eastAsia" w:asciiTheme="minorEastAsia" w:hAnsiTheme="minorEastAsia" w:eastAsiaTheme="minorEastAsia" w:cstheme="minorEastAsia"/>
          <w:b/>
          <w:color w:val="000000"/>
          <w:sz w:val="24"/>
          <w:szCs w:val="24"/>
          <w:lang w:val="en-US" w:eastAsia="zh-CN"/>
        </w:rPr>
        <w:t>（二</w:t>
      </w:r>
      <w:r>
        <w:rPr>
          <w:rFonts w:hint="eastAsia" w:asciiTheme="minorEastAsia" w:hAnsiTheme="minorEastAsia" w:eastAsiaTheme="minorEastAsia" w:cstheme="minorEastAsia"/>
          <w:b/>
          <w:color w:val="000000"/>
          <w:sz w:val="24"/>
          <w:szCs w:val="24"/>
        </w:rPr>
        <w:t>）</w:t>
      </w:r>
      <w:bookmarkStart w:id="3" w:name="_GoBack"/>
      <w:bookmarkEnd w:id="3"/>
      <w:r>
        <w:rPr>
          <w:rFonts w:hint="eastAsia" w:asciiTheme="minorEastAsia" w:hAnsiTheme="minorEastAsia" w:eastAsiaTheme="minorEastAsia" w:cstheme="minorEastAsia"/>
          <w:b/>
          <w:color w:val="000000"/>
          <w:sz w:val="24"/>
          <w:szCs w:val="24"/>
          <w:lang w:val="en-US" w:eastAsia="zh-CN"/>
        </w:rPr>
        <w:t>商务要求</w:t>
      </w:r>
    </w:p>
    <w:bookmarkEnd w:id="0"/>
    <w:p w14:paraId="2B12C243">
      <w:pPr>
        <w:numPr>
          <w:ilvl w:val="0"/>
          <w:numId w:val="0"/>
        </w:numPr>
        <w:jc w:val="center"/>
        <w:rPr>
          <w:rFonts w:hint="eastAsia" w:ascii="宋体" w:hAnsi="宋体" w:cs="宋体"/>
          <w:b/>
          <w:color w:val="FF0000"/>
          <w:sz w:val="28"/>
          <w:szCs w:val="24"/>
          <w:highlight w:val="yellow"/>
          <w:lang w:val="en-US" w:eastAsia="zh-CN"/>
        </w:rPr>
      </w:pPr>
      <w:r>
        <w:rPr>
          <w:rFonts w:hint="eastAsia" w:ascii="宋体" w:hAnsi="宋体" w:cs="宋体"/>
          <w:b/>
          <w:color w:val="FF0000"/>
          <w:sz w:val="28"/>
          <w:szCs w:val="24"/>
          <w:highlight w:val="yellow"/>
        </w:rPr>
        <w:t>（本项目商务要求为不允许负偏离的实质性要求和条件）</w:t>
      </w:r>
    </w:p>
    <w:p w14:paraId="0248DD54">
      <w:pPr>
        <w:tabs>
          <w:tab w:val="left" w:pos="7020"/>
        </w:tabs>
        <w:spacing w:line="440" w:lineRule="exact"/>
        <w:ind w:firstLine="486"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1</w:t>
      </w:r>
      <w:r>
        <w:rPr>
          <w:rFonts w:hint="eastAsia" w:ascii="宋体" w:hAnsi="宋体" w:eastAsia="宋体" w:cs="Times New Roman"/>
          <w:sz w:val="24"/>
          <w:lang w:val="zh-CN" w:eastAsia="zh-CN"/>
        </w:rPr>
        <w:t>、</w:t>
      </w:r>
      <w:r>
        <w:rPr>
          <w:rFonts w:hint="eastAsia" w:ascii="宋体" w:hAnsi="宋体" w:eastAsia="宋体" w:cs="Times New Roman"/>
          <w:sz w:val="24"/>
          <w:lang w:val="en-US" w:eastAsia="zh-CN"/>
        </w:rPr>
        <w:t>所有货物（包括零部件）须为全新的、未使用过的原装正品。提交货物的技术参数和配置应与询价文件的要求及其响应文件的技术响应表（如果被评委会接受的话）相一致。若询价文件及响应文件中无相应说明，则以国家有关部门最新颁布的相应标准及规范为准。</w:t>
      </w:r>
    </w:p>
    <w:p w14:paraId="1F267AB2">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2、所有货物必须符合国家相关强制性要求。</w:t>
      </w:r>
    </w:p>
    <w:p w14:paraId="7910D051">
      <w:pPr>
        <w:tabs>
          <w:tab w:val="left" w:pos="7020"/>
        </w:tabs>
        <w:spacing w:line="440" w:lineRule="exact"/>
        <w:ind w:firstLine="486"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3、技术支持</w:t>
      </w:r>
    </w:p>
    <w:p w14:paraId="4C006920">
      <w:pPr>
        <w:tabs>
          <w:tab w:val="left" w:pos="7020"/>
        </w:tabs>
        <w:spacing w:line="440" w:lineRule="exact"/>
        <w:ind w:firstLine="486"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3.1成交供应商应向采购人提供全方位及时而有效的技术支持和服务。</w:t>
      </w:r>
    </w:p>
    <w:p w14:paraId="5D764D6D">
      <w:pPr>
        <w:tabs>
          <w:tab w:val="left" w:pos="7020"/>
        </w:tabs>
        <w:spacing w:line="440" w:lineRule="exact"/>
        <w:ind w:firstLine="486"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3.2成交供应商负责供货、运输并安装调试完毕。</w:t>
      </w:r>
    </w:p>
    <w:p w14:paraId="2D1C10DA">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3.3成交供应商在项目实施过程中，国家对相关项目有资质要求的，进场单位和人员的资质、资格符合国家、省、市有关规定。实施期间成交供应商所发生的或成交供应商实施场地内发生的或成交供应商原因造成的安全事故，均应由成交供应商负责按有关规定处理善后事宜，并承担给采购人造成的损失。</w:t>
      </w:r>
    </w:p>
    <w:p w14:paraId="01BC75EB">
      <w:pPr>
        <w:tabs>
          <w:tab w:val="left" w:pos="7020"/>
        </w:tabs>
        <w:spacing w:line="440" w:lineRule="exact"/>
        <w:ind w:firstLine="486"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 xml:space="preserve">4、产品质保期、服务期及售后服务：                                        </w:t>
      </w:r>
    </w:p>
    <w:p w14:paraId="0BDD0B30">
      <w:pPr>
        <w:tabs>
          <w:tab w:val="left" w:pos="7020"/>
        </w:tabs>
        <w:spacing w:line="440" w:lineRule="exact"/>
        <w:ind w:firstLine="486"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4.1</w:t>
      </w:r>
      <w:r>
        <w:rPr>
          <w:rFonts w:hint="eastAsia" w:ascii="宋体" w:hAnsi="宋体" w:cs="Times New Roman"/>
          <w:sz w:val="24"/>
          <w:highlight w:val="yellow"/>
          <w:lang w:val="en-US" w:eastAsia="zh-CN"/>
        </w:rPr>
        <w:t>成交供应商</w:t>
      </w:r>
      <w:r>
        <w:rPr>
          <w:rFonts w:hint="eastAsia" w:ascii="宋体" w:hAnsi="宋体" w:eastAsia="宋体" w:cs="Times New Roman"/>
          <w:sz w:val="24"/>
          <w:highlight w:val="yellow"/>
          <w:lang w:val="en-US" w:eastAsia="zh-CN"/>
        </w:rPr>
        <w:t>须对本项目货物提供至少3年的质保服务（自</w:t>
      </w:r>
      <w:r>
        <w:rPr>
          <w:rFonts w:hint="eastAsia" w:ascii="宋体" w:hAnsi="宋体" w:cs="Times New Roman"/>
          <w:sz w:val="24"/>
          <w:highlight w:val="yellow"/>
          <w:lang w:val="en-US" w:eastAsia="zh-CN"/>
        </w:rPr>
        <w:t>采购人</w:t>
      </w:r>
      <w:r>
        <w:rPr>
          <w:rFonts w:hint="eastAsia" w:ascii="宋体" w:hAnsi="宋体" w:eastAsia="宋体" w:cs="Times New Roman"/>
          <w:sz w:val="24"/>
          <w:highlight w:val="yellow"/>
          <w:lang w:val="en-US" w:eastAsia="zh-CN"/>
        </w:rPr>
        <w:t>验收合格之日起计算）</w:t>
      </w:r>
      <w:r>
        <w:rPr>
          <w:rFonts w:hint="eastAsia" w:ascii="宋体" w:hAnsi="宋体" w:eastAsia="宋体" w:cs="Times New Roman"/>
          <w:sz w:val="24"/>
          <w:lang w:val="en-US" w:eastAsia="zh-CN"/>
        </w:rPr>
        <w:t>。质保期内出现质量问题，</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负责包修、包退、包换，质保期内</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及货物生产厂家须及时提供上门维修、更换非人为损坏零部件服务，所有质保费用均已包含在总投标价中。质保期结束后</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应以不高于市场价格的向</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 xml:space="preserve">提供备品备件。                                                        </w:t>
      </w:r>
    </w:p>
    <w:p w14:paraId="2E1A91ED">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4.2售后服务响应时间：如货物出现质量问题，</w:t>
      </w:r>
      <w:bookmarkStart w:id="2" w:name="OLE_LINK2"/>
      <w:r>
        <w:rPr>
          <w:rFonts w:hint="eastAsia" w:ascii="宋体" w:hAnsi="宋体" w:eastAsia="宋体" w:cs="Times New Roman"/>
          <w:sz w:val="24"/>
          <w:lang w:val="en-US" w:eastAsia="zh-CN"/>
        </w:rPr>
        <w:t>成交供应商</w:t>
      </w:r>
      <w:bookmarkEnd w:id="2"/>
      <w:r>
        <w:rPr>
          <w:rFonts w:hint="eastAsia" w:ascii="宋体" w:hAnsi="宋体" w:eastAsia="宋体" w:cs="Times New Roman"/>
          <w:sz w:val="24"/>
          <w:lang w:val="en-US" w:eastAsia="zh-CN"/>
        </w:rPr>
        <w:t>须</w:t>
      </w:r>
      <w:r>
        <w:rPr>
          <w:rFonts w:hint="eastAsia" w:ascii="宋体" w:hAnsi="宋体" w:eastAsia="宋体" w:cs="Times New Roman"/>
          <w:color w:val="FF0000"/>
          <w:sz w:val="24"/>
          <w:u w:val="single"/>
          <w:lang w:val="en-US" w:eastAsia="zh-CN"/>
        </w:rPr>
        <w:t>1小时内</w:t>
      </w:r>
      <w:r>
        <w:rPr>
          <w:rFonts w:hint="eastAsia" w:ascii="宋体" w:hAnsi="宋体" w:eastAsia="宋体" w:cs="Times New Roman"/>
          <w:sz w:val="24"/>
          <w:lang w:val="en-US" w:eastAsia="zh-CN"/>
        </w:rPr>
        <w:t>响应，电话响应无法解决，成交供应商必须在接报修电话</w:t>
      </w:r>
      <w:r>
        <w:rPr>
          <w:rFonts w:hint="eastAsia" w:ascii="宋体" w:hAnsi="宋体" w:eastAsia="宋体" w:cs="Times New Roman"/>
          <w:color w:val="FF0000"/>
          <w:sz w:val="24"/>
          <w:u w:val="single"/>
          <w:lang w:val="en-US" w:eastAsia="zh-CN"/>
        </w:rPr>
        <w:t>24小时内</w:t>
      </w:r>
      <w:r>
        <w:rPr>
          <w:rFonts w:hint="eastAsia" w:ascii="宋体" w:hAnsi="宋体" w:eastAsia="宋体" w:cs="Times New Roman"/>
          <w:sz w:val="24"/>
          <w:lang w:val="en-US" w:eastAsia="zh-CN"/>
        </w:rPr>
        <w:t>到达现场并在</w:t>
      </w:r>
      <w:r>
        <w:rPr>
          <w:rFonts w:hint="eastAsia" w:ascii="宋体" w:hAnsi="宋体" w:eastAsia="宋体" w:cs="Times New Roman"/>
          <w:color w:val="FF0000"/>
          <w:sz w:val="24"/>
          <w:u w:val="single"/>
          <w:lang w:val="en-US" w:eastAsia="zh-CN"/>
        </w:rPr>
        <w:t>48小时内</w:t>
      </w:r>
      <w:r>
        <w:rPr>
          <w:rFonts w:hint="eastAsia" w:ascii="宋体" w:hAnsi="宋体" w:eastAsia="宋体" w:cs="Times New Roman"/>
          <w:sz w:val="24"/>
          <w:lang w:val="en-US" w:eastAsia="zh-CN"/>
        </w:rPr>
        <w:t>解决问题。如不能解决的，成交供应商需提供备品备件供采购人使用。质保期内如货物出现质量问题，成交供应商负责修复，对于无法修复的情况，成交供应商负责免费更换。</w:t>
      </w:r>
    </w:p>
    <w:p w14:paraId="3260A680">
      <w:pPr>
        <w:tabs>
          <w:tab w:val="left" w:pos="7020"/>
        </w:tabs>
        <w:spacing w:line="440" w:lineRule="exact"/>
        <w:ind w:firstLine="486" w:firstLineChars="200"/>
        <w:rPr>
          <w:rFonts w:hint="eastAsia" w:ascii="宋体" w:hAnsi="宋体" w:eastAsia="宋体" w:cs="Times New Roman"/>
          <w:sz w:val="24"/>
          <w:highlight w:val="yellow"/>
          <w:lang w:val="en-US" w:eastAsia="zh-CN"/>
        </w:rPr>
      </w:pPr>
      <w:r>
        <w:rPr>
          <w:rFonts w:hint="eastAsia" w:ascii="宋体" w:hAnsi="宋体" w:eastAsia="宋体" w:cs="Times New Roman"/>
          <w:sz w:val="24"/>
          <w:lang w:val="en-US" w:eastAsia="zh-CN"/>
        </w:rPr>
        <w:t>5、</w:t>
      </w:r>
      <w:r>
        <w:rPr>
          <w:rFonts w:hint="eastAsia" w:ascii="宋体" w:hAnsi="宋体" w:cs="Times New Roman"/>
          <w:sz w:val="24"/>
          <w:lang w:val="en-US" w:eastAsia="zh-CN"/>
        </w:rPr>
        <w:t>交</w:t>
      </w:r>
      <w:r>
        <w:rPr>
          <w:rFonts w:hint="eastAsia" w:ascii="宋体" w:hAnsi="宋体" w:eastAsia="宋体" w:cs="Times New Roman"/>
          <w:sz w:val="24"/>
          <w:lang w:val="en-US" w:eastAsia="zh-CN"/>
        </w:rPr>
        <w:t>货期：</w:t>
      </w:r>
      <w:r>
        <w:rPr>
          <w:rFonts w:hint="eastAsia" w:ascii="宋体" w:hAnsi="宋体" w:cs="Times New Roman"/>
          <w:sz w:val="24"/>
          <w:highlight w:val="yellow"/>
          <w:lang w:val="en-US" w:eastAsia="zh-CN"/>
        </w:rPr>
        <w:t>接采购人通</w:t>
      </w:r>
      <w:r>
        <w:rPr>
          <w:rFonts w:hint="eastAsia" w:ascii="宋体" w:hAnsi="宋体" w:eastAsia="宋体" w:cs="Times New Roman"/>
          <w:sz w:val="24"/>
          <w:highlight w:val="yellow"/>
          <w:lang w:val="en-US" w:eastAsia="zh-CN"/>
        </w:rPr>
        <w:t>后</w:t>
      </w:r>
      <w:r>
        <w:rPr>
          <w:rFonts w:hint="eastAsia" w:ascii="宋体" w:hAnsi="宋体" w:cs="Times New Roman"/>
          <w:sz w:val="24"/>
          <w:highlight w:val="yellow"/>
          <w:lang w:val="en-US" w:eastAsia="zh-CN"/>
        </w:rPr>
        <w:t>30</w:t>
      </w:r>
      <w:r>
        <w:rPr>
          <w:rFonts w:hint="eastAsia" w:ascii="宋体" w:hAnsi="宋体" w:eastAsia="宋体" w:cs="Times New Roman"/>
          <w:sz w:val="24"/>
          <w:highlight w:val="yellow"/>
          <w:lang w:val="en-US" w:eastAsia="zh-CN"/>
        </w:rPr>
        <w:t>个日历日内交货并安装摆放完毕。</w:t>
      </w:r>
    </w:p>
    <w:p w14:paraId="6F8C2163">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6、</w:t>
      </w:r>
      <w:r>
        <w:rPr>
          <w:rFonts w:hint="eastAsia" w:ascii="宋体" w:hAnsi="宋体" w:cs="Times New Roman"/>
          <w:sz w:val="24"/>
          <w:lang w:val="en-US" w:eastAsia="zh-CN"/>
        </w:rPr>
        <w:t>交</w:t>
      </w:r>
      <w:r>
        <w:rPr>
          <w:rFonts w:hint="eastAsia" w:ascii="宋体" w:hAnsi="宋体" w:eastAsia="宋体" w:cs="Times New Roman"/>
          <w:sz w:val="24"/>
          <w:lang w:val="en-US" w:eastAsia="zh-CN"/>
        </w:rPr>
        <w:t>货地点：马鞍山市中医院（采购人指定地点）。</w:t>
      </w:r>
    </w:p>
    <w:p w14:paraId="28040F31">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7、培训：</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应对</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的操作人员提供现场培训。</w:t>
      </w:r>
    </w:p>
    <w:p w14:paraId="4CB341D2">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7.1现场培训能够根据用户需要，合理安排，使用户能够全面掌握设备的工作原理，熟练独立操作设备，并能够对设备进行日常维护与保养，简单故障诊断与排除。</w:t>
      </w:r>
    </w:p>
    <w:p w14:paraId="7C804B83">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7.2以上培训费用含在总投标价中。</w:t>
      </w:r>
    </w:p>
    <w:p w14:paraId="6D13828C">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cs="Times New Roman"/>
          <w:sz w:val="24"/>
          <w:lang w:val="en-US" w:eastAsia="zh-CN"/>
        </w:rPr>
        <w:t>8、</w:t>
      </w:r>
      <w:r>
        <w:rPr>
          <w:rFonts w:hint="eastAsia" w:ascii="宋体" w:hAnsi="宋体" w:eastAsia="宋体" w:cs="Times New Roman"/>
          <w:sz w:val="24"/>
          <w:lang w:val="en-US" w:eastAsia="zh-CN"/>
        </w:rPr>
        <w:t>验收：</w:t>
      </w:r>
    </w:p>
    <w:p w14:paraId="62ADD89B">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8.1</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予以配合。涉及需要由质检或行业主管部门验收的项目，</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须约请相关部门和专家参加项目验收。</w:t>
      </w:r>
    </w:p>
    <w:p w14:paraId="28B76524">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8.2货物在验收时，</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厂商质保承诺、操作使用说明书、质保书、保修证明、维护手册及技术性指导资料以及根据中国相关法律规定制造、销售报价货物（包括主要部件和材料）所必备的各种证书(如产品质量检验报告、国家相关检测机构出具的检验报告等）等文件汇集成册交付</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和应由</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提供的必要文件。</w:t>
      </w:r>
    </w:p>
    <w:p w14:paraId="70C06CEA">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8.3</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对货物进行全面的验收，对验收中暴露出来的问题，</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应及时无条件进行整改，最终验收合格后，</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向</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签发最终验收证明。</w:t>
      </w:r>
    </w:p>
    <w:p w14:paraId="72BA926E">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8.4</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应向</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提供安装调试过程中的各种文档资料,以便</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今后能掌握操作和维护方法。</w:t>
      </w:r>
    </w:p>
    <w:p w14:paraId="0B18DDC5">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8.5</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向</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提供详细的验收标准、验收手册。设备安装后，货物所有技术参数经检验应符合招标文件要求。合同签订后，成交投标人须待</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确定货物款式尺寸后，方可批量供货，否则</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不予验收。</w:t>
      </w:r>
    </w:p>
    <w:p w14:paraId="1C3673A3">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8.6.1产品外观要求是对木加工、涂饰加工、五金配件安装后的技术要求。</w:t>
      </w:r>
    </w:p>
    <w:p w14:paraId="329456A9">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1）木加工完成后的产品，不允许存在以下缺陷：</w:t>
      </w:r>
    </w:p>
    <w:p w14:paraId="2FE6F79A">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①人造板制成的部件应经封边处理而未经封边处理的；</w:t>
      </w:r>
    </w:p>
    <w:p w14:paraId="2A146CF4">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②覆面材料胶黏后存在脱胶、鼓泡、拼接处离缝和透明胶的；</w:t>
      </w:r>
    </w:p>
    <w:p w14:paraId="11B224DC">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③零部件接合处，装板部件和各种支撑件存在松动、离缝、断裂的；</w:t>
      </w:r>
    </w:p>
    <w:p w14:paraId="1DCCEEE9">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④产品外表倒楞。圆角存在不均匀不对称的；</w:t>
      </w:r>
    </w:p>
    <w:p w14:paraId="15843881">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⑤雕刻、车木加工后存在花型线型不对称，铲底不平，有刀痕、破痕的；</w:t>
      </w:r>
    </w:p>
    <w:p w14:paraId="3368744A">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⑥产品外表没有达到精光，内表没有达到细光，粗光部件存在锯毛和创痕等涂饰加工后的产品；</w:t>
      </w:r>
    </w:p>
    <w:p w14:paraId="7EF8A562">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2）涂饰加工后的产品不允许存在以下缺陷：</w:t>
      </w:r>
    </w:p>
    <w:p w14:paraId="7D610143">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①整件产品或成套产品有明显色差的；产品表面涂层存在漆膜皱皮、发黏、漏漆的；</w:t>
      </w:r>
    </w:p>
    <w:p w14:paraId="1B2886AE">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②漆膜涂层有明显雾光、白楞、白点、油白、流挂、缩孔、刷毛、积粉、杂渣、划伤、鼓泡和脱皮的；</w:t>
      </w:r>
    </w:p>
    <w:p w14:paraId="418F168D">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③软、硬质覆面材料表面存在凹陷、麻点、划伤、裂痕、崩角和刃口的；</w:t>
      </w:r>
    </w:p>
    <w:p w14:paraId="73E42334">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④产品非涂饰部位和产品内部不清洁的；</w:t>
      </w:r>
    </w:p>
    <w:p w14:paraId="1D6D5F99">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⑤五金配件有安装孔缺安装件的，安装件漏钉、透钉的，活动部件起动不灵活的，配件安装不牢固有松动的，安装孔周边崩茬的；</w:t>
      </w:r>
    </w:p>
    <w:p w14:paraId="2903EDEE">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8.6.2摆放前后室内空气质量对比情况。</w:t>
      </w:r>
    </w:p>
    <w:p w14:paraId="316504B8">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8.6.3每个种类的产品供货后，</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将对照招标文件要求，随机抽样进行一次或数次破坏性检验，若任意一次抽检不合格，</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将退回该种类所有产品。进行破坏性检验的产品费用由</w:t>
      </w:r>
      <w:r>
        <w:rPr>
          <w:rFonts w:hint="eastAsia" w:ascii="宋体" w:hAnsi="宋体" w:cs="Times New Roman"/>
          <w:sz w:val="24"/>
          <w:lang w:val="en-US" w:eastAsia="zh-CN"/>
        </w:rPr>
        <w:t>采购人</w:t>
      </w:r>
      <w:r>
        <w:rPr>
          <w:rFonts w:hint="eastAsia" w:ascii="宋体" w:hAnsi="宋体" w:eastAsia="宋体" w:cs="Times New Roman"/>
          <w:sz w:val="24"/>
          <w:lang w:val="en-US" w:eastAsia="zh-CN"/>
        </w:rPr>
        <w:t>承担。</w:t>
      </w:r>
    </w:p>
    <w:p w14:paraId="7E240794">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8.7</w:t>
      </w:r>
      <w:r>
        <w:rPr>
          <w:rFonts w:hint="eastAsia" w:ascii="宋体" w:hAnsi="宋体" w:cs="Times New Roman"/>
          <w:sz w:val="24"/>
          <w:lang w:val="en-US" w:eastAsia="zh-CN"/>
        </w:rPr>
        <w:t>成交供应商</w:t>
      </w:r>
      <w:r>
        <w:rPr>
          <w:rFonts w:hint="eastAsia" w:ascii="宋体" w:hAnsi="宋体" w:eastAsia="宋体" w:cs="Times New Roman"/>
          <w:sz w:val="24"/>
          <w:lang w:val="en-US" w:eastAsia="zh-CN"/>
        </w:rPr>
        <w:t xml:space="preserve">须保证同产品同品质。                                </w:t>
      </w:r>
    </w:p>
    <w:p w14:paraId="2E793467">
      <w:pPr>
        <w:tabs>
          <w:tab w:val="left" w:pos="7020"/>
        </w:tabs>
        <w:spacing w:line="440" w:lineRule="exact"/>
        <w:ind w:firstLine="486" w:firstLineChars="200"/>
        <w:rPr>
          <w:rFonts w:hint="default" w:ascii="宋体" w:hAnsi="宋体" w:eastAsia="宋体" w:cs="Times New Roman"/>
          <w:sz w:val="24"/>
          <w:lang w:val="en-US" w:eastAsia="zh-CN"/>
        </w:rPr>
      </w:pPr>
      <w:r>
        <w:rPr>
          <w:rFonts w:hint="eastAsia" w:ascii="宋体" w:hAnsi="宋体" w:cs="Times New Roman"/>
          <w:sz w:val="24"/>
          <w:lang w:val="en-US" w:eastAsia="zh-CN"/>
        </w:rPr>
        <w:t>9</w:t>
      </w:r>
      <w:r>
        <w:rPr>
          <w:rFonts w:hint="eastAsia" w:ascii="宋体" w:hAnsi="宋体" w:eastAsia="宋体" w:cs="Times New Roman"/>
          <w:sz w:val="24"/>
          <w:lang w:val="en-US" w:eastAsia="zh-CN"/>
        </w:rPr>
        <w:t>、付款方式：</w:t>
      </w:r>
      <w:r>
        <w:rPr>
          <w:rFonts w:hint="eastAsia" w:ascii="宋体" w:hAnsi="宋体" w:cs="Times New Roman"/>
          <w:sz w:val="24"/>
          <w:lang w:val="en-US" w:eastAsia="zh-CN"/>
        </w:rPr>
        <w:t>项目</w:t>
      </w:r>
      <w:r>
        <w:rPr>
          <w:rFonts w:hint="eastAsia" w:ascii="宋体" w:hAnsi="宋体" w:eastAsia="宋体" w:cs="Times New Roman"/>
          <w:sz w:val="24"/>
          <w:lang w:val="en-US" w:eastAsia="zh-CN"/>
        </w:rPr>
        <w:t>验收合格后</w:t>
      </w:r>
      <w:r>
        <w:rPr>
          <w:rFonts w:hint="eastAsia" w:ascii="宋体" w:hAnsi="宋体" w:cs="Times New Roman"/>
          <w:sz w:val="24"/>
          <w:lang w:val="en-US" w:eastAsia="zh-CN"/>
        </w:rPr>
        <w:t>付至</w:t>
      </w:r>
      <w:r>
        <w:rPr>
          <w:rFonts w:hint="eastAsia" w:ascii="宋体" w:hAnsi="宋体" w:eastAsia="宋体" w:cs="Times New Roman"/>
          <w:sz w:val="24"/>
          <w:lang w:val="en-US" w:eastAsia="zh-CN"/>
        </w:rPr>
        <w:t>97%</w:t>
      </w:r>
      <w:r>
        <w:rPr>
          <w:rFonts w:hint="eastAsia" w:ascii="宋体" w:hAnsi="宋体" w:cs="Times New Roman"/>
          <w:sz w:val="24"/>
          <w:lang w:val="en-US" w:eastAsia="zh-CN"/>
        </w:rPr>
        <w:t>，</w:t>
      </w:r>
      <w:r>
        <w:rPr>
          <w:rFonts w:hint="eastAsia" w:ascii="宋体" w:hAnsi="宋体" w:cs="Times New Roman"/>
          <w:sz w:val="24"/>
          <w:lang w:val="en-US" w:eastAsia="zh-CN"/>
        </w:rPr>
        <w:t>剩余3%</w:t>
      </w:r>
      <w:r>
        <w:rPr>
          <w:rFonts w:hint="eastAsia" w:ascii="宋体" w:hAnsi="宋体" w:eastAsia="宋体" w:cs="Times New Roman"/>
          <w:sz w:val="24"/>
          <w:lang w:val="en-US" w:eastAsia="zh-CN"/>
        </w:rPr>
        <w:t>待36个月无质量及售后服务问题</w:t>
      </w:r>
      <w:r>
        <w:rPr>
          <w:rFonts w:hint="eastAsia" w:ascii="宋体" w:hAnsi="宋体" w:cs="Times New Roman"/>
          <w:sz w:val="24"/>
          <w:lang w:val="en-US" w:eastAsia="zh-CN"/>
        </w:rPr>
        <w:t>后付完</w:t>
      </w:r>
      <w:r>
        <w:rPr>
          <w:rFonts w:hint="eastAsia" w:ascii="宋体" w:hAnsi="宋体" w:cs="Times New Roman"/>
          <w:sz w:val="24"/>
          <w:lang w:val="en-US" w:eastAsia="zh-CN"/>
        </w:rPr>
        <w:t>。</w:t>
      </w:r>
    </w:p>
    <w:p w14:paraId="74FD148C">
      <w:pPr>
        <w:tabs>
          <w:tab w:val="left" w:pos="7020"/>
        </w:tabs>
        <w:spacing w:line="440" w:lineRule="exact"/>
        <w:ind w:firstLine="486" w:firstLineChars="200"/>
        <w:rPr>
          <w:rFonts w:hint="eastAsia" w:ascii="宋体" w:hAnsi="宋体" w:eastAsia="宋体" w:cs="Times New Roman"/>
          <w:sz w:val="24"/>
          <w:lang w:val="en-US" w:eastAsia="zh-CN"/>
        </w:rPr>
      </w:pPr>
      <w:r>
        <w:rPr>
          <w:rFonts w:hint="eastAsia" w:ascii="宋体" w:hAnsi="宋体" w:cs="Times New Roman"/>
          <w:sz w:val="24"/>
          <w:lang w:val="en-US" w:eastAsia="zh-CN"/>
        </w:rPr>
        <w:t>10</w:t>
      </w:r>
      <w:r>
        <w:rPr>
          <w:rFonts w:hint="eastAsia" w:ascii="宋体" w:hAnsi="宋体" w:eastAsia="宋体" w:cs="Times New Roman"/>
          <w:sz w:val="24"/>
          <w:lang w:val="en-US" w:eastAsia="zh-CN"/>
        </w:rPr>
        <w:t>、本项目总投标价包含履行本项目的全部费用及所有价内价外税金及合理利润等，不再产生任何二次费用。</w:t>
      </w:r>
    </w:p>
    <w:p w14:paraId="62F8F7CF">
      <w:pPr>
        <w:spacing w:line="340" w:lineRule="exact"/>
        <w:ind w:firstLine="446" w:firstLineChars="200"/>
        <w:jc w:val="left"/>
        <w:rPr>
          <w:rFonts w:hint="eastAsia" w:asciiTheme="minorEastAsia" w:hAnsiTheme="minorEastAsia" w:eastAsiaTheme="minorEastAsia" w:cstheme="minorEastAsia"/>
          <w:b w:val="0"/>
          <w:bCs w:val="0"/>
          <w:sz w:val="22"/>
          <w:szCs w:val="22"/>
          <w:lang w:val="zh-CN" w:eastAsia="zh-CN"/>
        </w:rPr>
      </w:pPr>
    </w:p>
    <w:p w14:paraId="2CA4250B">
      <w:pPr>
        <w:spacing w:line="340" w:lineRule="exact"/>
        <w:ind w:firstLine="486" w:firstLineChars="200"/>
        <w:rPr>
          <w:rFonts w:hint="eastAsia" w:asciiTheme="minorEastAsia" w:hAnsiTheme="minorEastAsia" w:eastAsiaTheme="minorEastAsia" w:cstheme="minorEastAsia"/>
          <w:b w:val="0"/>
          <w:bCs w:val="0"/>
          <w:sz w:val="24"/>
          <w:szCs w:val="24"/>
          <w:lang w:val="en-US" w:eastAsia="zh-CN"/>
        </w:rPr>
      </w:pPr>
    </w:p>
    <w:sectPr>
      <w:pgSz w:w="11906" w:h="16838"/>
      <w:pgMar w:top="1440" w:right="1797" w:bottom="1440" w:left="1797" w:header="851" w:footer="992" w:gutter="0"/>
      <w:paperSrc/>
      <w:cols w:space="0" w:num="1"/>
      <w:rtlGutter w:val="0"/>
      <w:docGrid w:type="linesAndChars" w:linePitch="319" w:charSpace="6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Plotter">
    <w:altName w:val="Segoe Print"/>
    <w:panose1 w:val="00000000000000000000"/>
    <w:charset w:val="00"/>
    <w:family w:val="roman"/>
    <w:pitch w:val="default"/>
    <w:sig w:usb0="00000000" w:usb1="00000000" w:usb2="0000006E" w:usb3="00000000" w:csb0="00000002" w:csb1="0062E6A4"/>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15B7B">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v:imagedata o:title=""/>
          <o:lock v:ext="edit" aspectratio="f"/>
          <v:textbox inset="0mm,0mm,0mm,0mm" style="mso-fit-shape-to-text:t;">
            <w:txbxContent>
              <w:p w14:paraId="0E968053">
                <w:pPr>
                  <w:pStyle w:val="11"/>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1CE39">
    <w:pPr>
      <w:pStyle w:val="12"/>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BBCA32"/>
    <w:multiLevelType w:val="singleLevel"/>
    <w:tmpl w:val="60BBCA32"/>
    <w:lvl w:ilvl="0" w:tentative="0">
      <w:start w:val="1"/>
      <w:numFmt w:val="chineseCounting"/>
      <w:suff w:val="nothing"/>
      <w:lvlText w:val="%1、"/>
      <w:lvlJc w:val="left"/>
      <w:pPr>
        <w:ind w:left="2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7"/>
  <w:drawingGridVerticalSpacing w:val="159"/>
  <w:displayHorizontalDrawingGridEvery w:val="2"/>
  <w:displayVerticalDrawingGridEvery w:val="2"/>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NjVjOGUxODk1YzY2NTUxMWVjNzRmZDgxYTIzNjVjOGQifQ=="/>
  </w:docVars>
  <w:rsids>
    <w:rsidRoot w:val="00000000"/>
    <w:rsid w:val="006335AF"/>
    <w:rsid w:val="020A3257"/>
    <w:rsid w:val="03CB7491"/>
    <w:rsid w:val="052A3046"/>
    <w:rsid w:val="05EB0880"/>
    <w:rsid w:val="062E4AEA"/>
    <w:rsid w:val="06CC51B2"/>
    <w:rsid w:val="06E339B1"/>
    <w:rsid w:val="07E96A1E"/>
    <w:rsid w:val="0A6C6349"/>
    <w:rsid w:val="0B2B77D7"/>
    <w:rsid w:val="0D4508F8"/>
    <w:rsid w:val="10ED7334"/>
    <w:rsid w:val="187263AC"/>
    <w:rsid w:val="1A5A58C9"/>
    <w:rsid w:val="1B9133C8"/>
    <w:rsid w:val="1C7F35CF"/>
    <w:rsid w:val="1EA6006C"/>
    <w:rsid w:val="200B3B6B"/>
    <w:rsid w:val="20230655"/>
    <w:rsid w:val="21072CC7"/>
    <w:rsid w:val="2214117B"/>
    <w:rsid w:val="22F722B3"/>
    <w:rsid w:val="230044F9"/>
    <w:rsid w:val="24945F95"/>
    <w:rsid w:val="25253F4E"/>
    <w:rsid w:val="25D6079F"/>
    <w:rsid w:val="26AD333E"/>
    <w:rsid w:val="27E74129"/>
    <w:rsid w:val="28901CFF"/>
    <w:rsid w:val="28A63A77"/>
    <w:rsid w:val="28E75901"/>
    <w:rsid w:val="2B612949"/>
    <w:rsid w:val="2F3A581B"/>
    <w:rsid w:val="2F683B53"/>
    <w:rsid w:val="2F937E28"/>
    <w:rsid w:val="30C2420B"/>
    <w:rsid w:val="310E58A1"/>
    <w:rsid w:val="322F2D66"/>
    <w:rsid w:val="32354DFC"/>
    <w:rsid w:val="323653FE"/>
    <w:rsid w:val="33082D45"/>
    <w:rsid w:val="3459486C"/>
    <w:rsid w:val="38402058"/>
    <w:rsid w:val="384F3434"/>
    <w:rsid w:val="3B326DB3"/>
    <w:rsid w:val="3C4E2A76"/>
    <w:rsid w:val="3D94095C"/>
    <w:rsid w:val="40147341"/>
    <w:rsid w:val="42917E16"/>
    <w:rsid w:val="449C2FE1"/>
    <w:rsid w:val="45B002FD"/>
    <w:rsid w:val="4D20467D"/>
    <w:rsid w:val="4E522BAF"/>
    <w:rsid w:val="4FE16041"/>
    <w:rsid w:val="50146947"/>
    <w:rsid w:val="51C74FB8"/>
    <w:rsid w:val="51F635A0"/>
    <w:rsid w:val="52FA6DA5"/>
    <w:rsid w:val="532A16EF"/>
    <w:rsid w:val="55D50741"/>
    <w:rsid w:val="58D331A8"/>
    <w:rsid w:val="5C013209"/>
    <w:rsid w:val="5C6B760E"/>
    <w:rsid w:val="5FF608A7"/>
    <w:rsid w:val="602D5FC1"/>
    <w:rsid w:val="608A34B1"/>
    <w:rsid w:val="63D95EC9"/>
    <w:rsid w:val="64702AD3"/>
    <w:rsid w:val="647E189B"/>
    <w:rsid w:val="6A6E4594"/>
    <w:rsid w:val="6C6E4B04"/>
    <w:rsid w:val="6D8E7496"/>
    <w:rsid w:val="6E16292A"/>
    <w:rsid w:val="6FE74798"/>
    <w:rsid w:val="70384FF4"/>
    <w:rsid w:val="7075590D"/>
    <w:rsid w:val="70A97C9F"/>
    <w:rsid w:val="72DC3AFD"/>
    <w:rsid w:val="735C50AE"/>
    <w:rsid w:val="73E8476A"/>
    <w:rsid w:val="73F364FA"/>
    <w:rsid w:val="74742919"/>
    <w:rsid w:val="74EE54C4"/>
    <w:rsid w:val="74FB2A94"/>
    <w:rsid w:val="750730DA"/>
    <w:rsid w:val="753B3DF9"/>
    <w:rsid w:val="77C83757"/>
    <w:rsid w:val="77E640D1"/>
    <w:rsid w:val="780B0ECF"/>
    <w:rsid w:val="78283BA0"/>
    <w:rsid w:val="78D6764B"/>
    <w:rsid w:val="7A992BBA"/>
    <w:rsid w:val="7B404F0F"/>
    <w:rsid w:val="7B450E59"/>
    <w:rsid w:val="7C2E374F"/>
    <w:rsid w:val="7E6C6EE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link w:val="33"/>
    <w:qFormat/>
    <w:uiPriority w:val="0"/>
    <w:pPr>
      <w:keepNext/>
      <w:keepLines/>
      <w:spacing w:before="340" w:after="330" w:line="578" w:lineRule="auto"/>
      <w:jc w:val="center"/>
      <w:outlineLvl w:val="0"/>
    </w:pPr>
    <w:rPr>
      <w:rFonts w:ascii="Times New Roman" w:hAnsi="Times New Roman" w:eastAsia="黑体"/>
      <w:b/>
      <w:bCs/>
      <w:kern w:val="44"/>
      <w:sz w:val="30"/>
      <w:szCs w:val="44"/>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仿宋" w:cs="Times New Roman"/>
      <w:b/>
      <w:sz w:val="24"/>
    </w:rPr>
  </w:style>
  <w:style w:type="character" w:default="1" w:styleId="19">
    <w:name w:val="Default Paragraph Font"/>
    <w:semiHidden/>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kern w:val="0"/>
      <w:sz w:val="24"/>
      <w:szCs w:val="20"/>
    </w:rPr>
  </w:style>
  <w:style w:type="paragraph" w:styleId="5">
    <w:name w:val="Body Text"/>
    <w:basedOn w:val="1"/>
    <w:next w:val="6"/>
    <w:link w:val="27"/>
    <w:qFormat/>
    <w:uiPriority w:val="0"/>
    <w:pPr>
      <w:jc w:val="left"/>
    </w:pPr>
    <w:rPr>
      <w:rFonts w:ascii="Arial" w:hAnsi="Arial" w:eastAsia="黑体"/>
      <w:b/>
      <w:sz w:val="32"/>
    </w:rPr>
  </w:style>
  <w:style w:type="paragraph" w:customStyle="1" w:styleId="6">
    <w:name w:val="目录 71"/>
    <w:basedOn w:val="1"/>
    <w:next w:val="1"/>
    <w:qFormat/>
    <w:uiPriority w:val="0"/>
    <w:pPr>
      <w:ind w:left="2520"/>
    </w:pPr>
  </w:style>
  <w:style w:type="paragraph" w:styleId="7">
    <w:name w:val="Body Text Indent"/>
    <w:basedOn w:val="1"/>
    <w:link w:val="28"/>
    <w:semiHidden/>
    <w:unhideWhenUsed/>
    <w:qFormat/>
    <w:uiPriority w:val="99"/>
    <w:pPr>
      <w:spacing w:after="120"/>
      <w:ind w:left="420" w:leftChars="200"/>
    </w:pPr>
  </w:style>
  <w:style w:type="paragraph" w:styleId="8">
    <w:name w:val="Date"/>
    <w:basedOn w:val="1"/>
    <w:next w:val="1"/>
    <w:link w:val="25"/>
    <w:semiHidden/>
    <w:unhideWhenUsed/>
    <w:qFormat/>
    <w:uiPriority w:val="99"/>
    <w:pPr>
      <w:ind w:left="100" w:leftChars="2500"/>
    </w:pPr>
  </w:style>
  <w:style w:type="paragraph" w:styleId="9">
    <w:name w:val="Body Text Indent 2"/>
    <w:basedOn w:val="1"/>
    <w:qFormat/>
    <w:uiPriority w:val="0"/>
    <w:pPr>
      <w:spacing w:after="120" w:line="480" w:lineRule="auto"/>
      <w:ind w:left="420" w:leftChars="200"/>
    </w:pPr>
    <w:rPr>
      <w:rFonts w:ascii="宋体"/>
      <w:sz w:val="32"/>
      <w:szCs w:val="22"/>
    </w:rPr>
  </w:style>
  <w:style w:type="paragraph" w:styleId="10">
    <w:name w:val="Balloon Text"/>
    <w:basedOn w:val="1"/>
    <w:link w:val="30"/>
    <w:semiHidden/>
    <w:unhideWhenUsed/>
    <w:qFormat/>
    <w:uiPriority w:val="99"/>
    <w:rPr>
      <w:sz w:val="18"/>
      <w:szCs w:val="18"/>
    </w:rPr>
  </w:style>
  <w:style w:type="paragraph" w:styleId="11">
    <w:name w:val="footer"/>
    <w:basedOn w:val="1"/>
    <w:link w:val="24"/>
    <w:unhideWhenUsed/>
    <w:qFormat/>
    <w:uiPriority w:val="0"/>
    <w:pPr>
      <w:tabs>
        <w:tab w:val="center" w:pos="4153"/>
        <w:tab w:val="right" w:pos="8306"/>
      </w:tabs>
      <w:snapToGrid w:val="0"/>
      <w:jc w:val="left"/>
    </w:pPr>
    <w:rPr>
      <w:sz w:val="18"/>
      <w:szCs w:val="18"/>
    </w:rPr>
  </w:style>
  <w:style w:type="paragraph" w:styleId="12">
    <w:name w:val="header"/>
    <w:basedOn w:val="1"/>
    <w:link w:val="2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ind w:left="210"/>
    </w:pPr>
    <w:rPr>
      <w:rFonts w:ascii="Calibri" w:hAnsi="Calibri" w:eastAsia="宋体" w:cs="Times New Roman"/>
      <w:szCs w:val="24"/>
    </w:rPr>
  </w:style>
  <w:style w:type="paragraph" w:styleId="14">
    <w:name w:val="Body Text 2"/>
    <w:basedOn w:val="1"/>
    <w:next w:val="1"/>
    <w:qFormat/>
    <w:uiPriority w:val="0"/>
    <w:pPr>
      <w:spacing w:after="120" w:line="480" w:lineRule="auto"/>
    </w:pPr>
    <w:rPr>
      <w:kern w:val="0"/>
      <w:sz w:val="20"/>
      <w:szCs w:val="24"/>
    </w:rPr>
  </w:style>
  <w:style w:type="paragraph" w:styleId="1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6">
    <w:name w:val="Body Text First Indent 2"/>
    <w:basedOn w:val="7"/>
    <w:link w:val="29"/>
    <w:semiHidden/>
    <w:unhideWhenUsed/>
    <w:qFormat/>
    <w:uiPriority w:val="99"/>
    <w:pPr>
      <w:ind w:firstLine="420" w:firstLineChars="200"/>
    </w:pPr>
  </w:style>
  <w:style w:type="table" w:styleId="18">
    <w:name w:val="Table Grid"/>
    <w:basedOn w:val="17"/>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semiHidden/>
    <w:unhideWhenUsed/>
    <w:qFormat/>
    <w:uiPriority w:val="99"/>
    <w:rPr>
      <w:rFonts w:cs="Times New Roman"/>
    </w:rPr>
  </w:style>
  <w:style w:type="character" w:styleId="21">
    <w:name w:val="Hyperlink"/>
    <w:basedOn w:val="19"/>
    <w:unhideWhenUsed/>
    <w:qFormat/>
    <w:uiPriority w:val="99"/>
    <w:rPr>
      <w:color w:val="0000FF"/>
      <w:u w:val="single"/>
    </w:rPr>
  </w:style>
  <w:style w:type="paragraph" w:customStyle="1" w:styleId="22">
    <w:name w:val="List Paragraph"/>
    <w:basedOn w:val="1"/>
    <w:qFormat/>
    <w:uiPriority w:val="34"/>
    <w:pPr>
      <w:ind w:firstLine="420" w:firstLineChars="200"/>
    </w:pPr>
    <w:rPr>
      <w:rFonts w:ascii="Times New Roman" w:hAnsi="Times New Roman" w:eastAsia="宋体" w:cs="Times New Roman"/>
      <w:szCs w:val="24"/>
    </w:rPr>
  </w:style>
  <w:style w:type="character" w:customStyle="1" w:styleId="23">
    <w:name w:val="页眉 Char"/>
    <w:basedOn w:val="19"/>
    <w:link w:val="12"/>
    <w:semiHidden/>
    <w:qFormat/>
    <w:uiPriority w:val="99"/>
    <w:rPr>
      <w:sz w:val="18"/>
      <w:szCs w:val="18"/>
    </w:rPr>
  </w:style>
  <w:style w:type="character" w:customStyle="1" w:styleId="24">
    <w:name w:val="页脚 Char"/>
    <w:basedOn w:val="19"/>
    <w:link w:val="11"/>
    <w:qFormat/>
    <w:uiPriority w:val="0"/>
    <w:rPr>
      <w:sz w:val="18"/>
      <w:szCs w:val="18"/>
    </w:rPr>
  </w:style>
  <w:style w:type="character" w:customStyle="1" w:styleId="25">
    <w:name w:val="日期 Char"/>
    <w:basedOn w:val="19"/>
    <w:link w:val="8"/>
    <w:semiHidden/>
    <w:qFormat/>
    <w:uiPriority w:val="99"/>
  </w:style>
  <w:style w:type="character" w:customStyle="1" w:styleId="26">
    <w:name w:val="正文文本 Char"/>
    <w:link w:val="5"/>
    <w:qFormat/>
    <w:locked/>
    <w:uiPriority w:val="0"/>
    <w:rPr>
      <w:rFonts w:ascii="Arial" w:hAnsi="Arial" w:eastAsia="黑体"/>
      <w:b/>
      <w:sz w:val="32"/>
    </w:rPr>
  </w:style>
  <w:style w:type="character" w:customStyle="1" w:styleId="27">
    <w:name w:val="正文文本 Char1"/>
    <w:basedOn w:val="19"/>
    <w:link w:val="5"/>
    <w:semiHidden/>
    <w:qFormat/>
    <w:uiPriority w:val="99"/>
  </w:style>
  <w:style w:type="character" w:customStyle="1" w:styleId="28">
    <w:name w:val="正文文本缩进 Char"/>
    <w:basedOn w:val="19"/>
    <w:link w:val="7"/>
    <w:semiHidden/>
    <w:qFormat/>
    <w:uiPriority w:val="99"/>
  </w:style>
  <w:style w:type="character" w:customStyle="1" w:styleId="29">
    <w:name w:val="正文首行缩进 2 Char"/>
    <w:basedOn w:val="28"/>
    <w:link w:val="16"/>
    <w:semiHidden/>
    <w:qFormat/>
    <w:uiPriority w:val="99"/>
  </w:style>
  <w:style w:type="character" w:customStyle="1" w:styleId="30">
    <w:name w:val="批注框文本 Char"/>
    <w:basedOn w:val="19"/>
    <w:link w:val="10"/>
    <w:semiHidden/>
    <w:qFormat/>
    <w:uiPriority w:val="99"/>
    <w:rPr>
      <w:sz w:val="18"/>
      <w:szCs w:val="18"/>
    </w:rPr>
  </w:style>
  <w:style w:type="paragraph" w:customStyle="1" w:styleId="31">
    <w:name w:val="正文_0"/>
    <w:qFormat/>
    <w:uiPriority w:val="0"/>
    <w:pPr>
      <w:widowControl w:val="0"/>
      <w:jc w:val="both"/>
    </w:pPr>
    <w:rPr>
      <w:rFonts w:ascii="Plotter" w:hAnsi="Plotter" w:eastAsia="宋体" w:cs="Plotter"/>
      <w:b/>
      <w:kern w:val="2"/>
      <w:sz w:val="24"/>
      <w:szCs w:val="52"/>
      <w:lang w:val="en-US" w:eastAsia="zh-CN" w:bidi="ar-SA"/>
    </w:rPr>
  </w:style>
  <w:style w:type="paragraph" w:customStyle="1" w:styleId="32">
    <w:name w:val="目录 21"/>
    <w:basedOn w:val="1"/>
    <w:qFormat/>
    <w:uiPriority w:val="0"/>
    <w:pPr>
      <w:ind w:left="420"/>
    </w:pPr>
    <w:rPr>
      <w:rFonts w:eastAsia="仿宋_GB2312"/>
      <w:b/>
      <w:sz w:val="24"/>
    </w:rPr>
  </w:style>
  <w:style w:type="character" w:customStyle="1" w:styleId="33">
    <w:name w:val="标题 1 Char"/>
    <w:basedOn w:val="19"/>
    <w:link w:val="3"/>
    <w:qFormat/>
    <w:uiPriority w:val="0"/>
    <w:rPr>
      <w:rFonts w:ascii="Times New Roman" w:hAnsi="Times New Roman" w:eastAsia="黑体"/>
      <w:b/>
      <w:bCs/>
      <w:kern w:val="44"/>
      <w:sz w:val="30"/>
      <w:szCs w:val="44"/>
    </w:rPr>
  </w:style>
  <w:style w:type="character" w:customStyle="1" w:styleId="34">
    <w:name w:val="font101"/>
    <w:basedOn w:val="19"/>
    <w:qFormat/>
    <w:uiPriority w:val="0"/>
    <w:rPr>
      <w:rFonts w:hint="eastAsia" w:ascii="宋体" w:hAnsi="宋体" w:eastAsia="宋体" w:cs="宋体"/>
      <w:color w:val="FF0000"/>
      <w:sz w:val="20"/>
      <w:szCs w:val="20"/>
      <w:u w:val="none"/>
    </w:rPr>
  </w:style>
  <w:style w:type="paragraph" w:customStyle="1" w:styleId="35">
    <w:name w:val="节标题"/>
    <w:basedOn w:val="1"/>
    <w:next w:val="1"/>
    <w:qFormat/>
    <w:uiPriority w:val="0"/>
    <w:pPr>
      <w:widowControl/>
      <w:spacing w:line="289" w:lineRule="atLeast"/>
      <w:jc w:val="center"/>
      <w:textAlignment w:val="baseline"/>
    </w:pPr>
    <w:rPr>
      <w:color w:val="000000"/>
      <w:kern w:val="0"/>
      <w:sz w:val="28"/>
    </w:rPr>
  </w:style>
  <w:style w:type="paragraph" w:customStyle="1" w:styleId="36">
    <w:name w:val="p0"/>
    <w:basedOn w:val="1"/>
    <w:qFormat/>
    <w:uiPriority w:val="0"/>
    <w:pPr>
      <w:widowControl/>
    </w:pPr>
    <w:rPr>
      <w:rFonts w:cs="宋体"/>
      <w:kern w:val="0"/>
    </w:rPr>
  </w:style>
  <w:style w:type="character" w:customStyle="1" w:styleId="37">
    <w:name w:val="font01"/>
    <w:basedOn w:val="19"/>
    <w:uiPriority w:val="0"/>
    <w:rPr>
      <w:rFonts w:hint="eastAsia" w:ascii="宋体" w:hAnsi="宋体" w:eastAsia="宋体" w:cs="宋体"/>
      <w:color w:val="000000"/>
      <w:sz w:val="22"/>
      <w:szCs w:val="22"/>
      <w:u w:val="none"/>
    </w:rPr>
  </w:style>
  <w:style w:type="character" w:customStyle="1" w:styleId="38">
    <w:name w:val="font21"/>
    <w:basedOn w:val="19"/>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Pages>
  <Words>1595</Words>
  <Characters>1665</Characters>
  <Lines>6</Lines>
  <Paragraphs>1</Paragraphs>
  <TotalTime>1</TotalTime>
  <ScaleCrop>false</ScaleCrop>
  <LinksUpToDate>false</LinksUpToDate>
  <CharactersWithSpaces>1815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2020-09-28T00:44:00Z</dcterms:created>
  <dc:creator>Administrator</dc:creator>
  <cp:lastModifiedBy>能能</cp:lastModifiedBy>
  <cp:lastPrinted>2024-08-02T08:38:00Z</cp:lastPrinted>
  <dcterms:modified xsi:type="dcterms:W3CDTF">2025-09-17T09:03:26Z</dcterms:modified>
  <dc:title>马鞍山市中医院</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5454054EEDDD420495B91241D8CDEB4A</vt:lpwstr>
  </property>
  <property fmtid="{D5CDD505-2E9C-101B-9397-08002B2CF9AE}" pid="4" name="KSOTemplateDocerSaveRecord">
    <vt:lpwstr>eyJoZGlkIjoiNjVjOGUxODk1YzY2NTUxMWVjNzRmZDgxYTIzNjVjOGQiLCJ1c2VySWQiOiI1NTUzMTQ2MDYifQ==</vt:lpwstr>
  </property>
</Properties>
</file>