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1995" w:tblpY="1668"/>
        <w:tblW w:w="8268" w:type="dxa"/>
        <w:tblInd w:w="0" w:type="dxa"/>
        <w:tblLayout w:type="autofit"/>
        <w:tblCellMar>
          <w:top w:w="0" w:type="dxa"/>
          <w:left w:w="108" w:type="dxa"/>
          <w:bottom w:w="0" w:type="dxa"/>
          <w:right w:w="108" w:type="dxa"/>
        </w:tblCellMar>
      </w:tblPr>
      <w:tblGrid>
        <w:gridCol w:w="3787"/>
        <w:gridCol w:w="4481"/>
      </w:tblGrid>
      <w:tr w14:paraId="50213D31">
        <w:tblPrEx>
          <w:tblCellMar>
            <w:top w:w="0" w:type="dxa"/>
            <w:left w:w="108" w:type="dxa"/>
            <w:bottom w:w="0" w:type="dxa"/>
            <w:right w:w="108" w:type="dxa"/>
          </w:tblCellMar>
        </w:tblPrEx>
        <w:trPr>
          <w:trHeight w:val="466" w:hRule="atLeast"/>
        </w:trPr>
        <w:tc>
          <w:tcPr>
            <w:tcW w:w="82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7F2C2D">
            <w:pPr>
              <w:jc w:val="center"/>
              <w:rPr>
                <w:rFonts w:cs="Tahoma" w:asciiTheme="minorEastAsia" w:hAnsiTheme="minorEastAsia"/>
                <w:b/>
                <w:color w:val="000000"/>
                <w:sz w:val="28"/>
                <w:szCs w:val="28"/>
              </w:rPr>
            </w:pPr>
            <w:r>
              <w:rPr>
                <w:rFonts w:hint="eastAsia" w:cs="Tahoma" w:asciiTheme="minorEastAsia" w:hAnsiTheme="minorEastAsia"/>
                <w:b/>
                <w:color w:val="000000"/>
                <w:sz w:val="28"/>
                <w:szCs w:val="28"/>
              </w:rPr>
              <w:t>影像</w:t>
            </w:r>
            <w:r>
              <w:rPr>
                <w:rFonts w:hint="eastAsia" w:cs="Tahoma" w:asciiTheme="minorEastAsia" w:hAnsiTheme="minorEastAsia"/>
                <w:b/>
                <w:color w:val="000000"/>
                <w:sz w:val="28"/>
                <w:szCs w:val="28"/>
                <w:lang w:val="en-US" w:eastAsia="zh-CN"/>
              </w:rPr>
              <w:t>类</w:t>
            </w:r>
            <w:r>
              <w:rPr>
                <w:rFonts w:hint="eastAsia" w:cs="Tahoma" w:asciiTheme="minorEastAsia" w:hAnsiTheme="minorEastAsia"/>
                <w:b/>
                <w:color w:val="000000"/>
                <w:sz w:val="28"/>
                <w:szCs w:val="28"/>
              </w:rPr>
              <w:t>设备维保</w:t>
            </w:r>
            <w:r>
              <w:rPr>
                <w:rFonts w:hint="eastAsia" w:cs="Tahoma" w:asciiTheme="minorEastAsia" w:hAnsiTheme="minorEastAsia"/>
                <w:b/>
                <w:color w:val="000000"/>
                <w:sz w:val="28"/>
                <w:szCs w:val="28"/>
                <w:lang w:val="en-US" w:eastAsia="zh-CN"/>
              </w:rPr>
              <w:t>服务</w:t>
            </w:r>
            <w:r>
              <w:rPr>
                <w:rFonts w:hint="eastAsia" w:cs="Tahoma" w:asciiTheme="minorEastAsia" w:hAnsiTheme="minorEastAsia"/>
                <w:b/>
                <w:color w:val="000000"/>
                <w:sz w:val="28"/>
                <w:szCs w:val="28"/>
              </w:rPr>
              <w:t>目录</w:t>
            </w:r>
          </w:p>
        </w:tc>
      </w:tr>
      <w:tr w14:paraId="14ACC685">
        <w:tblPrEx>
          <w:tblCellMar>
            <w:top w:w="0" w:type="dxa"/>
            <w:left w:w="108" w:type="dxa"/>
            <w:bottom w:w="0" w:type="dxa"/>
            <w:right w:w="108" w:type="dxa"/>
          </w:tblCellMar>
        </w:tblPrEx>
        <w:trPr>
          <w:trHeight w:val="466" w:hRule="atLeast"/>
        </w:trPr>
        <w:tc>
          <w:tcPr>
            <w:tcW w:w="3787" w:type="dxa"/>
            <w:tcBorders>
              <w:top w:val="nil"/>
              <w:left w:val="single" w:color="auto" w:sz="4" w:space="0"/>
              <w:bottom w:val="single" w:color="auto" w:sz="4" w:space="0"/>
              <w:right w:val="single" w:color="auto" w:sz="4" w:space="0"/>
            </w:tcBorders>
            <w:shd w:val="clear" w:color="auto" w:fill="auto"/>
            <w:noWrap/>
            <w:vAlign w:val="bottom"/>
          </w:tcPr>
          <w:p w14:paraId="3BAB93B5">
            <w:pPr>
              <w:jc w:val="center"/>
              <w:rPr>
                <w:rFonts w:cs="Tahoma" w:asciiTheme="minorEastAsia" w:hAnsiTheme="minorEastAsia"/>
                <w:b/>
                <w:color w:val="000000"/>
                <w:sz w:val="28"/>
                <w:szCs w:val="28"/>
              </w:rPr>
            </w:pPr>
            <w:r>
              <w:rPr>
                <w:rFonts w:hint="eastAsia" w:cs="Tahoma" w:asciiTheme="minorEastAsia" w:hAnsiTheme="minorEastAsia"/>
                <w:b/>
                <w:color w:val="000000"/>
                <w:sz w:val="28"/>
                <w:szCs w:val="28"/>
              </w:rPr>
              <w:t>设备</w:t>
            </w:r>
          </w:p>
        </w:tc>
        <w:tc>
          <w:tcPr>
            <w:tcW w:w="4481" w:type="dxa"/>
            <w:tcBorders>
              <w:top w:val="nil"/>
              <w:left w:val="nil"/>
              <w:bottom w:val="single" w:color="auto" w:sz="4" w:space="0"/>
              <w:right w:val="single" w:color="auto" w:sz="4" w:space="0"/>
            </w:tcBorders>
            <w:shd w:val="clear" w:color="auto" w:fill="auto"/>
            <w:noWrap/>
            <w:vAlign w:val="bottom"/>
          </w:tcPr>
          <w:p w14:paraId="606B8E3B">
            <w:pPr>
              <w:jc w:val="center"/>
              <w:rPr>
                <w:rFonts w:cs="Tahoma" w:asciiTheme="minorEastAsia" w:hAnsiTheme="minorEastAsia"/>
                <w:b/>
                <w:color w:val="000000"/>
                <w:sz w:val="28"/>
                <w:szCs w:val="28"/>
              </w:rPr>
            </w:pPr>
            <w:r>
              <w:rPr>
                <w:rFonts w:hint="eastAsia" w:cs="Tahoma" w:asciiTheme="minorEastAsia" w:hAnsiTheme="minorEastAsia"/>
                <w:b/>
                <w:color w:val="000000"/>
                <w:sz w:val="28"/>
                <w:szCs w:val="28"/>
              </w:rPr>
              <w:t>维保方式</w:t>
            </w:r>
          </w:p>
        </w:tc>
      </w:tr>
      <w:tr w14:paraId="241ADF2F">
        <w:tblPrEx>
          <w:tblCellMar>
            <w:top w:w="0" w:type="dxa"/>
            <w:left w:w="108" w:type="dxa"/>
            <w:bottom w:w="0" w:type="dxa"/>
            <w:right w:w="108" w:type="dxa"/>
          </w:tblCellMar>
        </w:tblPrEx>
        <w:trPr>
          <w:trHeight w:val="466" w:hRule="atLeast"/>
        </w:trPr>
        <w:tc>
          <w:tcPr>
            <w:tcW w:w="3787" w:type="dxa"/>
            <w:tcBorders>
              <w:top w:val="nil"/>
              <w:left w:val="single" w:color="auto" w:sz="4" w:space="0"/>
              <w:bottom w:val="single" w:color="auto" w:sz="4" w:space="0"/>
              <w:right w:val="single" w:color="auto" w:sz="4" w:space="0"/>
            </w:tcBorders>
            <w:shd w:val="clear" w:color="auto" w:fill="auto"/>
            <w:noWrap/>
            <w:vAlign w:val="bottom"/>
          </w:tcPr>
          <w:p w14:paraId="38314027">
            <w:pPr>
              <w:jc w:val="center"/>
              <w:rPr>
                <w:rFonts w:cs="Tahoma" w:asciiTheme="minorEastAsia" w:hAnsiTheme="minorEastAsia"/>
                <w:color w:val="000000"/>
                <w:sz w:val="28"/>
                <w:szCs w:val="28"/>
              </w:rPr>
            </w:pPr>
            <w:r>
              <w:rPr>
                <w:rFonts w:hint="eastAsia" w:cs="Tahoma" w:asciiTheme="minorEastAsia" w:hAnsiTheme="minorEastAsia"/>
                <w:color w:val="000000"/>
                <w:sz w:val="28"/>
                <w:szCs w:val="28"/>
              </w:rPr>
              <w:t>联影</w:t>
            </w:r>
            <w:r>
              <w:rPr>
                <w:rFonts w:cs="Tahoma" w:asciiTheme="minorEastAsia" w:hAnsiTheme="minorEastAsia"/>
                <w:color w:val="000000"/>
                <w:sz w:val="28"/>
                <w:szCs w:val="28"/>
              </w:rPr>
              <w:t>40</w:t>
            </w:r>
            <w:r>
              <w:rPr>
                <w:rFonts w:hint="eastAsia" w:cs="Tahoma" w:asciiTheme="minorEastAsia" w:hAnsiTheme="minorEastAsia"/>
                <w:color w:val="000000"/>
                <w:sz w:val="28"/>
                <w:szCs w:val="28"/>
              </w:rPr>
              <w:t>排</w:t>
            </w:r>
            <w:r>
              <w:rPr>
                <w:rFonts w:cs="Tahoma" w:asciiTheme="minorEastAsia" w:hAnsiTheme="minorEastAsia"/>
                <w:color w:val="000000"/>
                <w:sz w:val="28"/>
                <w:szCs w:val="28"/>
              </w:rPr>
              <w:t>CT</w:t>
            </w:r>
            <w:r>
              <w:rPr>
                <w:rFonts w:hint="eastAsia" w:cs="Tahoma" w:asciiTheme="minorEastAsia" w:hAnsiTheme="minorEastAsia"/>
                <w:color w:val="000000"/>
                <w:sz w:val="28"/>
                <w:szCs w:val="28"/>
              </w:rPr>
              <w:t>（南院）</w:t>
            </w:r>
          </w:p>
        </w:tc>
        <w:tc>
          <w:tcPr>
            <w:tcW w:w="4481" w:type="dxa"/>
            <w:tcBorders>
              <w:top w:val="nil"/>
              <w:left w:val="nil"/>
              <w:bottom w:val="single" w:color="auto" w:sz="4" w:space="0"/>
              <w:right w:val="single" w:color="auto" w:sz="4" w:space="0"/>
            </w:tcBorders>
            <w:shd w:val="clear" w:color="auto" w:fill="auto"/>
            <w:noWrap/>
            <w:vAlign w:val="bottom"/>
          </w:tcPr>
          <w:p w14:paraId="77C7B0C0">
            <w:pPr>
              <w:jc w:val="center"/>
              <w:rPr>
                <w:rFonts w:cs="Tahoma" w:asciiTheme="minorEastAsia" w:hAnsiTheme="minorEastAsia"/>
                <w:color w:val="000000"/>
                <w:sz w:val="28"/>
                <w:szCs w:val="28"/>
              </w:rPr>
            </w:pPr>
            <w:r>
              <w:rPr>
                <w:rFonts w:hint="eastAsia" w:cs="Tahoma" w:asciiTheme="minorEastAsia" w:hAnsiTheme="minorEastAsia"/>
                <w:color w:val="000000"/>
                <w:sz w:val="28"/>
                <w:szCs w:val="28"/>
              </w:rPr>
              <w:t>技术保</w:t>
            </w:r>
          </w:p>
        </w:tc>
      </w:tr>
      <w:tr w14:paraId="543A9AB4">
        <w:tblPrEx>
          <w:tblCellMar>
            <w:top w:w="0" w:type="dxa"/>
            <w:left w:w="108" w:type="dxa"/>
            <w:bottom w:w="0" w:type="dxa"/>
            <w:right w:w="108" w:type="dxa"/>
          </w:tblCellMar>
        </w:tblPrEx>
        <w:trPr>
          <w:trHeight w:val="466" w:hRule="atLeast"/>
        </w:trPr>
        <w:tc>
          <w:tcPr>
            <w:tcW w:w="3787" w:type="dxa"/>
            <w:tcBorders>
              <w:top w:val="nil"/>
              <w:left w:val="single" w:color="auto" w:sz="4" w:space="0"/>
              <w:bottom w:val="single" w:color="auto" w:sz="4" w:space="0"/>
              <w:right w:val="single" w:color="auto" w:sz="4" w:space="0"/>
            </w:tcBorders>
            <w:shd w:val="clear" w:color="auto" w:fill="auto"/>
            <w:noWrap/>
            <w:vAlign w:val="bottom"/>
          </w:tcPr>
          <w:p w14:paraId="563164EA">
            <w:pPr>
              <w:jc w:val="center"/>
              <w:rPr>
                <w:rFonts w:cs="Tahoma" w:asciiTheme="minorEastAsia" w:hAnsiTheme="minorEastAsia"/>
                <w:color w:val="000000"/>
                <w:sz w:val="28"/>
                <w:szCs w:val="28"/>
              </w:rPr>
            </w:pPr>
            <w:r>
              <w:rPr>
                <w:rFonts w:cs="Tahoma" w:asciiTheme="minorEastAsia" w:hAnsiTheme="minorEastAsia"/>
                <w:color w:val="000000"/>
                <w:sz w:val="28"/>
                <w:szCs w:val="28"/>
              </w:rPr>
              <w:t>GE16</w:t>
            </w:r>
            <w:r>
              <w:rPr>
                <w:rFonts w:hint="eastAsia" w:cs="Tahoma" w:asciiTheme="minorEastAsia" w:hAnsiTheme="minorEastAsia"/>
                <w:color w:val="000000"/>
                <w:sz w:val="28"/>
                <w:szCs w:val="28"/>
              </w:rPr>
              <w:t>排</w:t>
            </w:r>
            <w:r>
              <w:rPr>
                <w:rFonts w:cs="Tahoma" w:asciiTheme="minorEastAsia" w:hAnsiTheme="minorEastAsia"/>
                <w:color w:val="000000"/>
                <w:sz w:val="28"/>
                <w:szCs w:val="28"/>
              </w:rPr>
              <w:t>CT</w:t>
            </w:r>
            <w:r>
              <w:rPr>
                <w:rFonts w:hint="eastAsia" w:cs="Tahoma" w:asciiTheme="minorEastAsia" w:hAnsiTheme="minorEastAsia"/>
                <w:color w:val="000000"/>
                <w:sz w:val="28"/>
                <w:szCs w:val="28"/>
              </w:rPr>
              <w:t>（东院）</w:t>
            </w:r>
          </w:p>
        </w:tc>
        <w:tc>
          <w:tcPr>
            <w:tcW w:w="4481" w:type="dxa"/>
            <w:tcBorders>
              <w:top w:val="nil"/>
              <w:left w:val="nil"/>
              <w:bottom w:val="single" w:color="auto" w:sz="4" w:space="0"/>
              <w:right w:val="single" w:color="auto" w:sz="4" w:space="0"/>
            </w:tcBorders>
            <w:shd w:val="clear" w:color="auto" w:fill="auto"/>
            <w:noWrap/>
            <w:vAlign w:val="bottom"/>
          </w:tcPr>
          <w:p w14:paraId="1EA928A9">
            <w:pPr>
              <w:jc w:val="center"/>
              <w:rPr>
                <w:rFonts w:cs="Tahoma" w:asciiTheme="minorEastAsia" w:hAnsiTheme="minorEastAsia"/>
                <w:color w:val="000000"/>
                <w:sz w:val="28"/>
                <w:szCs w:val="28"/>
              </w:rPr>
            </w:pPr>
            <w:r>
              <w:rPr>
                <w:rFonts w:hint="eastAsia" w:cs="Tahoma" w:asciiTheme="minorEastAsia" w:hAnsiTheme="minorEastAsia"/>
                <w:color w:val="000000"/>
                <w:sz w:val="28"/>
                <w:szCs w:val="28"/>
              </w:rPr>
              <w:t>技术保</w:t>
            </w:r>
          </w:p>
        </w:tc>
      </w:tr>
      <w:tr w14:paraId="1604839A">
        <w:tblPrEx>
          <w:tblCellMar>
            <w:top w:w="0" w:type="dxa"/>
            <w:left w:w="108" w:type="dxa"/>
            <w:bottom w:w="0" w:type="dxa"/>
            <w:right w:w="108" w:type="dxa"/>
          </w:tblCellMar>
        </w:tblPrEx>
        <w:trPr>
          <w:trHeight w:val="466" w:hRule="atLeast"/>
        </w:trPr>
        <w:tc>
          <w:tcPr>
            <w:tcW w:w="3787" w:type="dxa"/>
            <w:tcBorders>
              <w:top w:val="nil"/>
              <w:left w:val="single" w:color="auto" w:sz="4" w:space="0"/>
              <w:bottom w:val="single" w:color="auto" w:sz="4" w:space="0"/>
              <w:right w:val="single" w:color="auto" w:sz="4" w:space="0"/>
            </w:tcBorders>
            <w:shd w:val="clear" w:color="auto" w:fill="auto"/>
            <w:noWrap/>
            <w:vAlign w:val="bottom"/>
          </w:tcPr>
          <w:p w14:paraId="4EE073C9">
            <w:pPr>
              <w:jc w:val="center"/>
              <w:rPr>
                <w:rFonts w:cs="Tahoma" w:asciiTheme="minorEastAsia" w:hAnsiTheme="minorEastAsia"/>
                <w:color w:val="000000"/>
                <w:sz w:val="28"/>
                <w:szCs w:val="28"/>
              </w:rPr>
            </w:pPr>
            <w:r>
              <w:rPr>
                <w:rFonts w:hint="eastAsia" w:cs="Tahoma" w:asciiTheme="minorEastAsia" w:hAnsiTheme="minorEastAsia"/>
                <w:color w:val="000000"/>
                <w:sz w:val="28"/>
                <w:szCs w:val="28"/>
              </w:rPr>
              <w:t>锐珂</w:t>
            </w:r>
            <w:r>
              <w:rPr>
                <w:rFonts w:cs="Tahoma" w:asciiTheme="minorEastAsia" w:hAnsiTheme="minorEastAsia"/>
                <w:color w:val="000000"/>
                <w:sz w:val="28"/>
                <w:szCs w:val="28"/>
              </w:rPr>
              <w:t>DR</w:t>
            </w:r>
            <w:r>
              <w:rPr>
                <w:rFonts w:hint="eastAsia" w:cs="Tahoma" w:asciiTheme="minorEastAsia" w:hAnsiTheme="minorEastAsia"/>
                <w:color w:val="000000"/>
                <w:sz w:val="28"/>
                <w:szCs w:val="28"/>
              </w:rPr>
              <w:t>（南院）</w:t>
            </w:r>
          </w:p>
        </w:tc>
        <w:tc>
          <w:tcPr>
            <w:tcW w:w="4481" w:type="dxa"/>
            <w:tcBorders>
              <w:top w:val="nil"/>
              <w:left w:val="nil"/>
              <w:bottom w:val="single" w:color="auto" w:sz="4" w:space="0"/>
              <w:right w:val="single" w:color="auto" w:sz="4" w:space="0"/>
            </w:tcBorders>
            <w:shd w:val="clear" w:color="auto" w:fill="auto"/>
            <w:noWrap/>
            <w:vAlign w:val="bottom"/>
          </w:tcPr>
          <w:p w14:paraId="6DC78C4C">
            <w:pPr>
              <w:jc w:val="center"/>
              <w:rPr>
                <w:rFonts w:cs="Tahoma" w:asciiTheme="minorEastAsia" w:hAnsiTheme="minorEastAsia"/>
                <w:color w:val="000000"/>
                <w:sz w:val="28"/>
                <w:szCs w:val="28"/>
              </w:rPr>
            </w:pPr>
            <w:r>
              <w:rPr>
                <w:rFonts w:hint="eastAsia" w:cs="Tahoma" w:asciiTheme="minorEastAsia" w:hAnsiTheme="minorEastAsia"/>
                <w:color w:val="000000"/>
                <w:sz w:val="28"/>
                <w:szCs w:val="28"/>
              </w:rPr>
              <w:t>技术保</w:t>
            </w:r>
          </w:p>
        </w:tc>
      </w:tr>
      <w:tr w14:paraId="79126707">
        <w:tblPrEx>
          <w:tblCellMar>
            <w:top w:w="0" w:type="dxa"/>
            <w:left w:w="108" w:type="dxa"/>
            <w:bottom w:w="0" w:type="dxa"/>
            <w:right w:w="108" w:type="dxa"/>
          </w:tblCellMar>
        </w:tblPrEx>
        <w:trPr>
          <w:trHeight w:val="466" w:hRule="atLeast"/>
        </w:trPr>
        <w:tc>
          <w:tcPr>
            <w:tcW w:w="3787" w:type="dxa"/>
            <w:tcBorders>
              <w:top w:val="nil"/>
              <w:left w:val="single" w:color="auto" w:sz="4" w:space="0"/>
              <w:bottom w:val="single" w:color="auto" w:sz="4" w:space="0"/>
              <w:right w:val="single" w:color="auto" w:sz="4" w:space="0"/>
            </w:tcBorders>
            <w:shd w:val="clear" w:color="auto" w:fill="auto"/>
            <w:noWrap/>
            <w:vAlign w:val="bottom"/>
          </w:tcPr>
          <w:p w14:paraId="1259AE21">
            <w:pPr>
              <w:jc w:val="center"/>
              <w:rPr>
                <w:rFonts w:cs="Tahoma" w:asciiTheme="minorEastAsia" w:hAnsiTheme="minorEastAsia"/>
                <w:color w:val="000000"/>
                <w:sz w:val="28"/>
                <w:szCs w:val="28"/>
              </w:rPr>
            </w:pPr>
            <w:r>
              <w:rPr>
                <w:rFonts w:hint="eastAsia" w:cs="Tahoma" w:asciiTheme="minorEastAsia" w:hAnsiTheme="minorEastAsia"/>
                <w:color w:val="000000"/>
                <w:sz w:val="28"/>
                <w:szCs w:val="28"/>
              </w:rPr>
              <w:t>韩国</w:t>
            </w:r>
            <w:r>
              <w:rPr>
                <w:rFonts w:cs="Tahoma" w:asciiTheme="minorEastAsia" w:hAnsiTheme="minorEastAsia"/>
                <w:color w:val="000000"/>
                <w:sz w:val="28"/>
                <w:szCs w:val="28"/>
              </w:rPr>
              <w:t>MIS DR</w:t>
            </w:r>
            <w:r>
              <w:rPr>
                <w:rFonts w:hint="eastAsia" w:cs="Tahoma" w:asciiTheme="minorEastAsia" w:hAnsiTheme="minorEastAsia"/>
                <w:color w:val="000000"/>
                <w:sz w:val="28"/>
                <w:szCs w:val="28"/>
              </w:rPr>
              <w:t>（东院）</w:t>
            </w:r>
          </w:p>
        </w:tc>
        <w:tc>
          <w:tcPr>
            <w:tcW w:w="4481" w:type="dxa"/>
            <w:tcBorders>
              <w:top w:val="nil"/>
              <w:left w:val="nil"/>
              <w:bottom w:val="single" w:color="auto" w:sz="4" w:space="0"/>
              <w:right w:val="single" w:color="auto" w:sz="4" w:space="0"/>
            </w:tcBorders>
            <w:shd w:val="clear" w:color="auto" w:fill="auto"/>
            <w:noWrap/>
            <w:vAlign w:val="bottom"/>
          </w:tcPr>
          <w:p w14:paraId="20071913">
            <w:pPr>
              <w:jc w:val="center"/>
              <w:rPr>
                <w:rFonts w:cs="Tahoma" w:asciiTheme="minorEastAsia" w:hAnsiTheme="minorEastAsia"/>
                <w:color w:val="000000"/>
                <w:sz w:val="28"/>
                <w:szCs w:val="28"/>
              </w:rPr>
            </w:pPr>
            <w:r>
              <w:rPr>
                <w:rFonts w:hint="eastAsia" w:cs="Tahoma" w:asciiTheme="minorEastAsia" w:hAnsiTheme="minorEastAsia"/>
                <w:color w:val="000000"/>
                <w:sz w:val="28"/>
                <w:szCs w:val="28"/>
              </w:rPr>
              <w:t>技术保</w:t>
            </w:r>
          </w:p>
        </w:tc>
      </w:tr>
      <w:tr w14:paraId="2941BD0E">
        <w:tblPrEx>
          <w:tblCellMar>
            <w:top w:w="0" w:type="dxa"/>
            <w:left w:w="108" w:type="dxa"/>
            <w:bottom w:w="0" w:type="dxa"/>
            <w:right w:w="108" w:type="dxa"/>
          </w:tblCellMar>
        </w:tblPrEx>
        <w:trPr>
          <w:trHeight w:val="466" w:hRule="atLeast"/>
        </w:trPr>
        <w:tc>
          <w:tcPr>
            <w:tcW w:w="3787" w:type="dxa"/>
            <w:tcBorders>
              <w:top w:val="nil"/>
              <w:left w:val="single" w:color="auto" w:sz="4" w:space="0"/>
              <w:bottom w:val="single" w:color="auto" w:sz="4" w:space="0"/>
              <w:right w:val="single" w:color="auto" w:sz="4" w:space="0"/>
            </w:tcBorders>
            <w:shd w:val="clear" w:color="auto" w:fill="auto"/>
            <w:noWrap/>
            <w:vAlign w:val="bottom"/>
          </w:tcPr>
          <w:p w14:paraId="61745355">
            <w:pPr>
              <w:jc w:val="center"/>
              <w:rPr>
                <w:rFonts w:cs="Tahoma" w:asciiTheme="minorEastAsia" w:hAnsiTheme="minorEastAsia"/>
                <w:color w:val="000000"/>
                <w:sz w:val="28"/>
                <w:szCs w:val="28"/>
              </w:rPr>
            </w:pPr>
            <w:r>
              <w:rPr>
                <w:rFonts w:hint="eastAsia" w:cs="Tahoma" w:asciiTheme="minorEastAsia" w:hAnsiTheme="minorEastAsia"/>
                <w:color w:val="000000"/>
                <w:sz w:val="28"/>
                <w:szCs w:val="28"/>
              </w:rPr>
              <w:t>新华DR（金家庄）</w:t>
            </w:r>
          </w:p>
        </w:tc>
        <w:tc>
          <w:tcPr>
            <w:tcW w:w="4481" w:type="dxa"/>
            <w:tcBorders>
              <w:top w:val="nil"/>
              <w:left w:val="nil"/>
              <w:bottom w:val="single" w:color="auto" w:sz="4" w:space="0"/>
              <w:right w:val="single" w:color="auto" w:sz="4" w:space="0"/>
            </w:tcBorders>
            <w:shd w:val="clear" w:color="auto" w:fill="auto"/>
            <w:noWrap/>
            <w:vAlign w:val="bottom"/>
          </w:tcPr>
          <w:p w14:paraId="6A5BD140">
            <w:pPr>
              <w:jc w:val="center"/>
              <w:rPr>
                <w:rFonts w:cs="Tahoma" w:asciiTheme="minorEastAsia" w:hAnsiTheme="minorEastAsia"/>
                <w:color w:val="000000"/>
                <w:sz w:val="28"/>
                <w:szCs w:val="28"/>
              </w:rPr>
            </w:pPr>
            <w:r>
              <w:rPr>
                <w:rFonts w:hint="eastAsia" w:cs="Tahoma" w:asciiTheme="minorEastAsia" w:hAnsiTheme="minorEastAsia"/>
                <w:color w:val="000000"/>
                <w:sz w:val="28"/>
                <w:szCs w:val="28"/>
              </w:rPr>
              <w:t>技术保</w:t>
            </w:r>
          </w:p>
        </w:tc>
      </w:tr>
    </w:tbl>
    <w:p w14:paraId="19BF7F43">
      <w:pPr>
        <w:spacing w:line="360" w:lineRule="auto"/>
        <w:rPr>
          <w:rFonts w:hint="default"/>
          <w:lang w:val="en-US" w:eastAsia="zh-CN"/>
        </w:rPr>
      </w:pPr>
      <w:r>
        <w:rPr>
          <w:rFonts w:hint="eastAsia"/>
          <w:lang w:val="en-US" w:eastAsia="zh-CN"/>
        </w:rPr>
        <w:t>预算价：13万元/年</w:t>
      </w:r>
    </w:p>
    <w:p w14:paraId="6846B03F">
      <w:pPr>
        <w:spacing w:line="360" w:lineRule="auto"/>
        <w:rPr>
          <w:rFonts w:hint="eastAsia"/>
          <w:lang w:val="en-US" w:eastAsia="zh-CN"/>
        </w:rPr>
      </w:pPr>
      <w:r>
        <w:rPr>
          <w:rFonts w:hint="eastAsia"/>
          <w:lang w:val="en-US" w:eastAsia="zh-CN"/>
        </w:rPr>
        <w:t>1.维保要求：</w:t>
      </w:r>
      <w:r>
        <w:rPr>
          <w:rFonts w:hint="eastAsia" w:ascii="宋体" w:hAnsi="宋体" w:eastAsia="宋体" w:cs="宋体"/>
          <w:szCs w:val="21"/>
          <w:lang w:val="en-US" w:eastAsia="zh-CN"/>
        </w:rPr>
        <w:t>技术保</w:t>
      </w:r>
      <w:r>
        <w:rPr>
          <w:rFonts w:hint="eastAsia" w:ascii="宋体" w:hAnsi="宋体" w:eastAsia="宋体" w:cs="宋体"/>
          <w:szCs w:val="21"/>
        </w:rPr>
        <w:t>服务，</w:t>
      </w:r>
      <w:r>
        <w:rPr>
          <w:rFonts w:hint="eastAsia" w:ascii="宋体" w:hAnsi="宋体" w:eastAsia="宋体" w:cs="宋体"/>
          <w:szCs w:val="21"/>
          <w:lang w:val="en-US" w:eastAsia="zh-CN"/>
        </w:rPr>
        <w:t>提供不限次数人工服务，不包</w:t>
      </w:r>
      <w:r>
        <w:rPr>
          <w:rFonts w:hint="eastAsia" w:ascii="宋体" w:hAnsi="宋体" w:eastAsia="宋体" w:cs="宋体"/>
          <w:szCs w:val="21"/>
        </w:rPr>
        <w:t>含零配件。</w:t>
      </w:r>
    </w:p>
    <w:p w14:paraId="4CC451D8">
      <w:pPr>
        <w:spacing w:line="360" w:lineRule="auto"/>
        <w:rPr>
          <w:rFonts w:hint="eastAsia"/>
          <w:lang w:val="en-US" w:eastAsia="zh-CN"/>
        </w:rPr>
      </w:pPr>
      <w:r>
        <w:rPr>
          <w:rFonts w:hint="eastAsia"/>
          <w:lang w:val="en-US" w:eastAsia="zh-CN"/>
        </w:rPr>
        <w:t xml:space="preserve">2.开机率保证：开机率≥95%,按全年 365 天计算。若开机率&lt;95%,每停机一天，维保延长一个月，不足一天按照一天计算。 </w:t>
      </w:r>
    </w:p>
    <w:p w14:paraId="70021658">
      <w:pPr>
        <w:spacing w:line="360" w:lineRule="auto"/>
        <w:rPr>
          <w:rFonts w:hint="eastAsia"/>
          <w:lang w:val="en-US" w:eastAsia="zh-CN"/>
        </w:rPr>
      </w:pPr>
      <w:r>
        <w:rPr>
          <w:rFonts w:hint="eastAsia" w:ascii="宋体" w:hAnsi="宋体" w:eastAsia="宋体" w:cs="宋体"/>
          <w:bCs/>
          <w:color w:val="000000"/>
          <w:spacing w:val="-4"/>
          <w:kern w:val="0"/>
          <w:sz w:val="24"/>
          <w:szCs w:val="24"/>
          <w:lang w:val="en-US" w:eastAsia="zh-CN" w:bidi="ar-SA"/>
        </w:rPr>
        <w:t>3</w:t>
      </w:r>
      <w:r>
        <w:rPr>
          <w:rFonts w:hint="eastAsia"/>
          <w:lang w:val="en-US" w:eastAsia="zh-CN"/>
        </w:rPr>
        <w:t>.响应时间：故障报修后 2 小时内电话响应，宕机情况下24 小时内工程师必须赶到现场进行维修（从报修电话呼叫中心人员与采购人确立需现场派员起）。</w:t>
      </w:r>
    </w:p>
    <w:p w14:paraId="250EE8BD">
      <w:pPr>
        <w:spacing w:line="360" w:lineRule="auto"/>
        <w:rPr>
          <w:rFonts w:hint="eastAsia"/>
          <w:lang w:val="en-US" w:eastAsia="zh-CN"/>
        </w:rPr>
      </w:pPr>
      <w:r>
        <w:rPr>
          <w:rFonts w:hint="eastAsia"/>
          <w:lang w:val="en-US" w:eastAsia="zh-CN"/>
        </w:rPr>
        <w:t xml:space="preserve">4.响应人在国内有维修的服务机构或办事处，在国内设有保证设备使用的完善备件库(响应文件中提供备件库详细地址及证明材料)。 </w:t>
      </w:r>
    </w:p>
    <w:p w14:paraId="75DF000A">
      <w:pPr>
        <w:spacing w:line="360" w:lineRule="auto"/>
        <w:rPr>
          <w:rFonts w:hint="eastAsia"/>
          <w:lang w:val="en-US" w:eastAsia="zh-CN"/>
        </w:rPr>
      </w:pPr>
      <w:r>
        <w:rPr>
          <w:rFonts w:hint="eastAsia"/>
          <w:lang w:val="en-US" w:eastAsia="zh-CN"/>
        </w:rPr>
        <w:t>5.具有电话支持热线：24 小时*365 天有工程师接听，为采购人快速诊断和技术支持服务。</w:t>
      </w:r>
    </w:p>
    <w:p w14:paraId="11215A74">
      <w:pPr>
        <w:spacing w:line="360" w:lineRule="auto"/>
        <w:rPr>
          <w:rFonts w:hint="eastAsia"/>
          <w:highlight w:val="yellow"/>
          <w:lang w:val="en-US" w:eastAsia="zh-CN"/>
        </w:rPr>
      </w:pPr>
      <w:r>
        <w:rPr>
          <w:rFonts w:hint="eastAsia" w:ascii="宋体" w:hAnsi="宋体" w:eastAsia="宋体" w:cs="宋体"/>
          <w:bCs/>
          <w:color w:val="000000"/>
          <w:spacing w:val="-4"/>
          <w:kern w:val="0"/>
          <w:sz w:val="24"/>
          <w:szCs w:val="24"/>
          <w:highlight w:val="yellow"/>
          <w:lang w:val="en-US" w:eastAsia="zh-CN" w:bidi="ar-SA"/>
        </w:rPr>
        <w:t>★</w:t>
      </w:r>
      <w:r>
        <w:rPr>
          <w:rFonts w:hint="eastAsia"/>
          <w:highlight w:val="yellow"/>
          <w:lang w:val="en-US" w:eastAsia="zh-CN"/>
        </w:rPr>
        <w:t>6.工程师要求：每次上门服务的工程师需经原厂技术培训合格且经采购人同意后方可维修。服务工程师团队不少于3 人，且符合国家或行业维修X 射线设备所需的资质证明材料。</w:t>
      </w:r>
    </w:p>
    <w:p w14:paraId="5C61F178">
      <w:pPr>
        <w:spacing w:line="360" w:lineRule="auto"/>
        <w:rPr>
          <w:rFonts w:hint="eastAsia"/>
          <w:highlight w:val="yellow"/>
          <w:lang w:val="en-US" w:eastAsia="zh-CN"/>
        </w:rPr>
      </w:pPr>
      <w:r>
        <w:rPr>
          <w:rFonts w:hint="eastAsia"/>
          <w:highlight w:val="yellow"/>
          <w:lang w:val="en-US" w:eastAsia="zh-CN"/>
        </w:rPr>
        <w:t>7.合同期内由专业工程师提供4次/年定期的专业保养，保证设备处于最佳运行状态，并出具年度维保报告，且满足相关部门检测要求。</w:t>
      </w:r>
    </w:p>
    <w:p w14:paraId="2A79622A">
      <w:pPr>
        <w:spacing w:line="360" w:lineRule="auto"/>
        <w:rPr>
          <w:rFonts w:hint="eastAsia" w:ascii="宋体" w:hAnsi="宋体" w:eastAsia="宋体" w:cs="宋体"/>
          <w:szCs w:val="21"/>
          <w:highlight w:val="yellow"/>
          <w:lang w:val="en-US" w:eastAsia="zh-CN"/>
        </w:rPr>
      </w:pPr>
      <w:r>
        <w:rPr>
          <w:rFonts w:hint="eastAsia" w:ascii="宋体" w:hAnsi="宋体" w:eastAsia="宋体" w:cs="宋体"/>
          <w:bCs/>
          <w:color w:val="000000"/>
          <w:spacing w:val="-4"/>
          <w:kern w:val="0"/>
          <w:sz w:val="24"/>
          <w:szCs w:val="24"/>
          <w:highlight w:val="yellow"/>
          <w:lang w:val="en-US" w:eastAsia="zh-CN" w:bidi="ar-SA"/>
        </w:rPr>
        <w:t>★</w:t>
      </w:r>
      <w:r>
        <w:rPr>
          <w:rFonts w:hint="eastAsia"/>
          <w:highlight w:val="yellow"/>
          <w:lang w:val="en-US" w:eastAsia="zh-CN"/>
        </w:rPr>
        <w:t>8.</w:t>
      </w:r>
      <w:r>
        <w:rPr>
          <w:rFonts w:hint="eastAsia" w:ascii="宋体" w:hAnsi="宋体" w:cs="宋体"/>
          <w:szCs w:val="21"/>
          <w:highlight w:val="yellow"/>
          <w:lang w:val="en-US" w:eastAsia="zh-CN"/>
        </w:rPr>
        <w:t>投标人具有</w:t>
      </w:r>
      <w:r>
        <w:rPr>
          <w:rFonts w:hint="eastAsia" w:ascii="宋体" w:hAnsi="宋体" w:eastAsia="宋体" w:cs="宋体"/>
          <w:szCs w:val="21"/>
          <w:highlight w:val="yellow"/>
          <w:lang w:val="en-US" w:eastAsia="zh-CN"/>
        </w:rPr>
        <w:t>辐射安全许可证，</w:t>
      </w:r>
      <w:r>
        <w:rPr>
          <w:rFonts w:hint="eastAsia" w:ascii="宋体" w:hAnsi="宋体" w:cs="宋体"/>
          <w:szCs w:val="21"/>
          <w:highlight w:val="yellow"/>
          <w:lang w:val="en-US" w:eastAsia="zh-CN"/>
        </w:rPr>
        <w:t>且</w:t>
      </w:r>
      <w:r>
        <w:rPr>
          <w:rFonts w:hint="eastAsia" w:ascii="宋体" w:hAnsi="宋体" w:eastAsia="宋体" w:cs="宋体"/>
          <w:szCs w:val="21"/>
          <w:highlight w:val="yellow"/>
          <w:lang w:val="en-US" w:eastAsia="zh-CN"/>
        </w:rPr>
        <w:t>证书范围包含III类医疗器械使用以及II类相关业务（提供全国核技术利用单位辐射安全许可证信息公开查询界面截图）。</w:t>
      </w:r>
    </w:p>
    <w:p w14:paraId="477F95CF">
      <w:pPr>
        <w:spacing w:line="360" w:lineRule="auto"/>
        <w:rPr>
          <w:rFonts w:hint="default" w:ascii="宋体" w:hAnsi="宋体" w:eastAsia="宋体" w:cs="宋体"/>
          <w:szCs w:val="21"/>
          <w:highlight w:val="yellow"/>
          <w:lang w:val="en-US" w:eastAsia="zh-CN"/>
        </w:rPr>
      </w:pPr>
      <w:r>
        <w:rPr>
          <w:rFonts w:hint="eastAsia" w:ascii="宋体" w:hAnsi="宋体" w:eastAsia="宋体" w:cs="宋体"/>
          <w:bCs/>
          <w:color w:val="000000"/>
          <w:spacing w:val="-4"/>
          <w:kern w:val="0"/>
          <w:sz w:val="24"/>
          <w:szCs w:val="24"/>
          <w:highlight w:val="yellow"/>
          <w:lang w:val="en-US" w:eastAsia="zh-CN" w:bidi="ar-SA"/>
        </w:rPr>
        <w:t>★</w:t>
      </w:r>
      <w:r>
        <w:rPr>
          <w:rFonts w:hint="eastAsia" w:ascii="宋体" w:hAnsi="宋体" w:eastAsia="宋体" w:cs="宋体"/>
          <w:szCs w:val="21"/>
          <w:highlight w:val="yellow"/>
          <w:lang w:val="en-US" w:eastAsia="zh-CN"/>
        </w:rPr>
        <w:t>9.投标</w:t>
      </w:r>
      <w:r>
        <w:rPr>
          <w:rFonts w:hint="default" w:ascii="宋体" w:hAnsi="宋体" w:eastAsia="宋体" w:cs="宋体"/>
          <w:szCs w:val="21"/>
          <w:highlight w:val="yellow"/>
          <w:lang w:val="en-US" w:eastAsia="zh-CN"/>
        </w:rPr>
        <w:t>人提供质量管理体系认证证书、医疗器械质量管理体系认证证书、信息技术服务管理体系认证证书、应急预案管理能力评价体系认证证书，且证书覆盖范围必须包含医疗器械现场修理或维修服务，并且提供证书扫描件和证书查询网站截图。</w:t>
      </w:r>
    </w:p>
    <w:p w14:paraId="52CDBC46">
      <w:pPr>
        <w:pStyle w:val="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10.安全升级、安全检查、质量保证：提供本项目所有设备最新软硬件版本升级，保证设备安全运行。无条件配合采购人完成质控、计量、网络信息安全检查等相关工作。</w:t>
      </w:r>
    </w:p>
    <w:p w14:paraId="43F9BA2E">
      <w:pPr>
        <w:spacing w:line="360" w:lineRule="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维保服务期三年，合同一年一签（考核无问题，续签第二年度合同）</w:t>
      </w:r>
    </w:p>
    <w:p w14:paraId="545298C5">
      <w:pPr>
        <w:pStyle w:val="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每半年支付50%维保费</w:t>
      </w:r>
      <w:bookmarkStart w:id="0" w:name="_GoBack"/>
      <w:bookmarkEnd w:id="0"/>
    </w:p>
    <w:p w14:paraId="6BBC6E94">
      <w:pPr>
        <w:spacing w:line="360" w:lineRule="auto"/>
        <w:rPr>
          <w:rFonts w:hint="eastAsia" w:ascii="宋体" w:hAnsi="宋体" w:eastAsia="宋体" w:cs="宋体"/>
          <w:szCs w:val="21"/>
          <w:lang w:val="en-US" w:eastAsia="zh-CN"/>
        </w:rPr>
      </w:pPr>
    </w:p>
    <w:p w14:paraId="5D788B7B">
      <w:pPr>
        <w:spacing w:line="360" w:lineRule="auto"/>
        <w:rPr>
          <w:rFonts w:hint="eastAsia" w:ascii="宋体" w:hAnsi="宋体" w:eastAsia="宋体" w:cs="宋体"/>
          <w:szCs w:val="21"/>
          <w:lang w:val="en-US" w:eastAsia="zh-CN"/>
        </w:rPr>
      </w:pPr>
    </w:p>
    <w:p w14:paraId="07C9CBE9">
      <w:pPr>
        <w:spacing w:line="360" w:lineRule="auto"/>
        <w:rPr>
          <w:rFonts w:hint="eastAsia" w:ascii="宋体" w:hAnsi="宋体" w:eastAsia="宋体" w:cs="宋体"/>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94881"/>
    <w:multiLevelType w:val="multilevel"/>
    <w:tmpl w:val="39F94881"/>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Restart w:val="0"/>
      <w:pStyle w:val="6"/>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407F2656"/>
    <w:multiLevelType w:val="multilevel"/>
    <w:tmpl w:val="407F2656"/>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66EBD"/>
    <w:rsid w:val="0C996BFF"/>
    <w:rsid w:val="0E8B174D"/>
    <w:rsid w:val="1CD14652"/>
    <w:rsid w:val="26A216AC"/>
    <w:rsid w:val="31974E05"/>
    <w:rsid w:val="34D4145C"/>
    <w:rsid w:val="358B39AE"/>
    <w:rsid w:val="3CAE4F39"/>
    <w:rsid w:val="41C55D33"/>
    <w:rsid w:val="4316750A"/>
    <w:rsid w:val="46A962AA"/>
    <w:rsid w:val="5C1F6532"/>
    <w:rsid w:val="5C874C24"/>
    <w:rsid w:val="69D53D5A"/>
    <w:rsid w:val="6AE64992"/>
    <w:rsid w:val="6EA3661F"/>
    <w:rsid w:val="768A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rFonts w:asciiTheme="minorAscii" w:hAnsiTheme="minorAscii"/>
      <w:b/>
      <w:kern w:val="44"/>
      <w:sz w:val="44"/>
    </w:rPr>
  </w:style>
  <w:style w:type="paragraph" w:styleId="5">
    <w:name w:val="heading 2"/>
    <w:basedOn w:val="1"/>
    <w:next w:val="1"/>
    <w:link w:val="16"/>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outlineLvl w:val="2"/>
    </w:pPr>
    <w:rPr>
      <w:rFonts w:ascii="Times New Roman" w:hAnsi="Times New Roman" w:eastAsia="宋体" w:cs="Times New Roman"/>
      <w:b/>
      <w:sz w:val="32"/>
    </w:rPr>
  </w:style>
  <w:style w:type="paragraph" w:styleId="7">
    <w:name w:val="heading 4"/>
    <w:basedOn w:val="1"/>
    <w:next w:val="1"/>
    <w:link w:val="17"/>
    <w:semiHidden/>
    <w:unhideWhenUsed/>
    <w:qFormat/>
    <w:uiPriority w:val="0"/>
    <w:pPr>
      <w:keepNext/>
      <w:keepLines/>
      <w:numPr>
        <w:ilvl w:val="3"/>
        <w:numId w:val="1"/>
      </w:numPr>
      <w:spacing w:line="360" w:lineRule="auto"/>
      <w:outlineLvl w:val="3"/>
    </w:pPr>
    <w:rPr>
      <w:rFonts w:ascii="黑体" w:hAnsi="黑体" w:eastAsia="黑体"/>
      <w:sz w:val="28"/>
      <w:szCs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20" w:lineRule="exact"/>
    </w:pPr>
    <w:rPr>
      <w:color w:val="FF0000"/>
      <w:sz w:val="24"/>
      <w:szCs w:val="24"/>
    </w:rPr>
  </w:style>
  <w:style w:type="paragraph" w:styleId="3">
    <w:name w:val="Date"/>
    <w:basedOn w:val="1"/>
    <w:next w:val="1"/>
    <w:qFormat/>
    <w:uiPriority w:val="0"/>
    <w:pPr>
      <w:ind w:left="100" w:leftChars="2500"/>
    </w:pPr>
  </w:style>
  <w:style w:type="paragraph" w:styleId="13">
    <w:name w:val="Body Text Indent"/>
    <w:basedOn w:val="1"/>
    <w:qFormat/>
    <w:uiPriority w:val="99"/>
    <w:pPr>
      <w:ind w:firstLine="576"/>
    </w:pPr>
    <w:rPr>
      <w:b/>
      <w:sz w:val="30"/>
    </w:rPr>
  </w:style>
  <w:style w:type="character" w:customStyle="1" w:styleId="16">
    <w:name w:val="标题 2 Char"/>
    <w:link w:val="5"/>
    <w:qFormat/>
    <w:uiPriority w:val="0"/>
    <w:rPr>
      <w:rFonts w:ascii="Arial" w:hAnsi="Arial" w:eastAsia="黑体"/>
      <w:b/>
      <w:sz w:val="32"/>
    </w:rPr>
  </w:style>
  <w:style w:type="character" w:customStyle="1" w:styleId="17">
    <w:name w:val="标题 4 字符"/>
    <w:link w:val="7"/>
    <w:qFormat/>
    <w:uiPriority w:val="0"/>
    <w:rPr>
      <w:rFonts w:ascii="黑体" w:hAnsi="黑体" w:eastAsia="黑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757</Words>
  <Characters>806</Characters>
  <Lines>0</Lines>
  <Paragraphs>0</Paragraphs>
  <TotalTime>26</TotalTime>
  <ScaleCrop>false</ScaleCrop>
  <LinksUpToDate>false</LinksUpToDate>
  <CharactersWithSpaces>818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18356503853</dc:creator>
  <cp:lastModifiedBy>莹莹</cp:lastModifiedBy>
  <dcterms:modified xsi:type="dcterms:W3CDTF">2025-09-18T08:36:56Z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eyJoZGlkIjoiNDM3MTYzMDhhOTc5YTExMzg1YTM0MTdhNjM0ZDllMjgiLCJ1c2VySWQiOiI0MzkxNjI2NzYifQ==</vt:lpwstr>
  </property>
  <property fmtid="{D5CDD505-2E9C-101B-9397-08002B2CF9AE}" pid="4" name="ICV">
    <vt:lpwstr>47EC581B472B4AFB9DE1B5A2F5032605_13</vt:lpwstr>
  </property>
</Properties>
</file>