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9D543">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jc w:val="center"/>
        <w:textAlignment w:val="auto"/>
        <w:rPr>
          <w:rFonts w:hint="eastAsia" w:ascii="仿宋" w:hAnsi="仿宋" w:eastAsia="仿宋" w:cs="仿宋"/>
          <w:b/>
          <w:kern w:val="2"/>
          <w:sz w:val="32"/>
          <w:szCs w:val="32"/>
          <w:lang w:val="en-US" w:eastAsia="zh-CN" w:bidi="ar-SA"/>
        </w:rPr>
      </w:pPr>
      <w:r>
        <w:rPr>
          <w:rFonts w:hint="eastAsia" w:ascii="仿宋" w:hAnsi="仿宋" w:eastAsia="仿宋" w:cs="仿宋"/>
          <w:b/>
          <w:kern w:val="2"/>
          <w:sz w:val="32"/>
          <w:szCs w:val="32"/>
          <w:lang w:val="en-US" w:eastAsia="zh-CN" w:bidi="ar-SA"/>
        </w:rPr>
        <w:t>马鞍山市中医院</w:t>
      </w:r>
      <w:bookmarkStart w:id="163" w:name="_GoBack"/>
      <w:r>
        <w:rPr>
          <w:rFonts w:hint="eastAsia" w:ascii="仿宋" w:hAnsi="仿宋" w:eastAsia="仿宋" w:cs="仿宋"/>
          <w:b/>
          <w:kern w:val="2"/>
          <w:sz w:val="32"/>
          <w:szCs w:val="32"/>
          <w:lang w:val="en-US" w:eastAsia="zh-CN" w:bidi="ar-SA"/>
        </w:rPr>
        <w:t>医保电子处方流转、移动支付、智能监控系统接口改造</w:t>
      </w:r>
      <w:bookmarkEnd w:id="163"/>
      <w:r>
        <w:rPr>
          <w:rFonts w:hint="eastAsia" w:ascii="仿宋" w:hAnsi="仿宋" w:eastAsia="仿宋" w:cs="仿宋"/>
          <w:b/>
          <w:kern w:val="2"/>
          <w:sz w:val="32"/>
          <w:szCs w:val="32"/>
          <w:lang w:val="en-US" w:eastAsia="zh-CN" w:bidi="ar-SA"/>
        </w:rPr>
        <w:t>项目内容及相关要求</w:t>
      </w:r>
    </w:p>
    <w:p w14:paraId="14C7A702">
      <w:pPr>
        <w:pageBreakBefore w:val="0"/>
        <w:kinsoku/>
        <w:wordWrap/>
        <w:topLinePunct w:val="0"/>
        <w:bidi w:val="0"/>
        <w:snapToGrid w:val="0"/>
        <w:spacing w:beforeAutospacing="0" w:afterAutospacing="0" w:line="440" w:lineRule="exact"/>
        <w:ind w:left="0" w:leftChars="0" w:right="0" w:rightChars="0"/>
        <w:jc w:val="left"/>
        <w:textAlignment w:val="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一、采购预算</w:t>
      </w:r>
    </w:p>
    <w:p w14:paraId="35FAEC5E">
      <w:pPr>
        <w:pageBreakBefore w:val="0"/>
        <w:kinsoku/>
        <w:wordWrap/>
        <w:topLinePunct w:val="0"/>
        <w:bidi w:val="0"/>
        <w:snapToGrid w:val="0"/>
        <w:spacing w:beforeAutospacing="0" w:afterAutospacing="0" w:line="440" w:lineRule="exact"/>
        <w:ind w:left="0" w:leftChars="0" w:right="0" w:rightChars="0"/>
        <w:jc w:val="center"/>
        <w:textAlignment w:val="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预算金额（人民币）：</w:t>
      </w:r>
      <w:r>
        <w:rPr>
          <w:rFonts w:hint="eastAsia" w:ascii="仿宋" w:hAnsi="仿宋" w:eastAsia="仿宋" w:cs="仿宋"/>
          <w:b/>
          <w:bCs w:val="0"/>
          <w:sz w:val="24"/>
          <w:szCs w:val="24"/>
          <w:u w:val="single"/>
          <w:lang w:val="en-US" w:eastAsia="zh-CN"/>
        </w:rPr>
        <w:t xml:space="preserve"> 20 </w:t>
      </w:r>
      <w:r>
        <w:rPr>
          <w:rFonts w:hint="eastAsia" w:ascii="仿宋" w:hAnsi="仿宋" w:eastAsia="仿宋" w:cs="仿宋"/>
          <w:b/>
          <w:bCs w:val="0"/>
          <w:sz w:val="24"/>
          <w:szCs w:val="24"/>
          <w:lang w:val="en-US" w:eastAsia="zh-CN"/>
        </w:rPr>
        <w:t>万元；最高限价（人民币）：</w:t>
      </w:r>
      <w:r>
        <w:rPr>
          <w:rFonts w:hint="eastAsia" w:ascii="仿宋" w:hAnsi="仿宋" w:eastAsia="仿宋" w:cs="仿宋"/>
          <w:b/>
          <w:bCs w:val="0"/>
          <w:sz w:val="24"/>
          <w:szCs w:val="24"/>
          <w:u w:val="single"/>
          <w:lang w:val="en-US" w:eastAsia="zh-CN"/>
        </w:rPr>
        <w:t xml:space="preserve"> 20 </w:t>
      </w:r>
      <w:r>
        <w:rPr>
          <w:rFonts w:hint="eastAsia" w:ascii="仿宋" w:hAnsi="仿宋" w:eastAsia="仿宋" w:cs="仿宋"/>
          <w:b/>
          <w:bCs w:val="0"/>
          <w:sz w:val="24"/>
          <w:szCs w:val="24"/>
          <w:lang w:val="en-US" w:eastAsia="zh-CN"/>
        </w:rPr>
        <w:t>万元。</w:t>
      </w:r>
    </w:p>
    <w:p w14:paraId="124D0D30">
      <w:pPr>
        <w:pageBreakBefore w:val="0"/>
        <w:kinsoku/>
        <w:wordWrap/>
        <w:topLinePunct w:val="0"/>
        <w:bidi w:val="0"/>
        <w:snapToGrid w:val="0"/>
        <w:spacing w:beforeAutospacing="0" w:afterAutospacing="0" w:line="440" w:lineRule="exact"/>
        <w:ind w:left="0" w:leftChars="0" w:right="0" w:rightChars="0"/>
        <w:jc w:val="left"/>
        <w:textAlignment w:val="auto"/>
        <w:rPr>
          <w:rFonts w:hint="eastAsia" w:ascii="仿宋" w:hAnsi="仿宋" w:eastAsia="仿宋" w:cs="仿宋"/>
          <w:b/>
          <w:bCs w:val="0"/>
          <w:sz w:val="24"/>
          <w:szCs w:val="24"/>
          <w:lang w:val="en-US" w:eastAsia="zh-CN"/>
        </w:rPr>
      </w:pPr>
      <w:bookmarkStart w:id="0" w:name="_Toc26868"/>
      <w:r>
        <w:rPr>
          <w:rFonts w:hint="eastAsia" w:ascii="仿宋" w:hAnsi="仿宋" w:eastAsia="仿宋" w:cs="仿宋"/>
          <w:b/>
          <w:bCs w:val="0"/>
          <w:sz w:val="24"/>
          <w:szCs w:val="24"/>
          <w:lang w:val="en-US" w:eastAsia="zh-CN"/>
        </w:rPr>
        <w:t>二、采购内容及相关要求</w:t>
      </w:r>
    </w:p>
    <w:p w14:paraId="312F6536">
      <w:pPr>
        <w:pageBreakBefore w:val="0"/>
        <w:kinsoku/>
        <w:wordWrap/>
        <w:topLinePunct w:val="0"/>
        <w:bidi w:val="0"/>
        <w:snapToGrid w:val="0"/>
        <w:spacing w:beforeAutospacing="0" w:afterAutospacing="0" w:line="440" w:lineRule="exact"/>
        <w:ind w:left="0" w:leftChars="0" w:right="0" w:rightChars="0"/>
        <w:jc w:val="center"/>
        <w:textAlignment w:val="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 xml:space="preserve">        （一）采购清单</w:t>
      </w:r>
    </w:p>
    <w:tbl>
      <w:tblPr>
        <w:tblStyle w:val="17"/>
        <w:tblW w:w="8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856"/>
        <w:gridCol w:w="1821"/>
        <w:gridCol w:w="4256"/>
        <w:gridCol w:w="856"/>
        <w:gridCol w:w="856"/>
      </w:tblGrid>
      <w:tr w14:paraId="74437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856" w:type="dxa"/>
            <w:noWrap/>
            <w:vAlign w:val="center"/>
          </w:tcPr>
          <w:p w14:paraId="5DC26B54">
            <w:pPr>
              <w:pStyle w:val="6"/>
              <w:pageBreakBefore w:val="0"/>
              <w:kinsoku/>
              <w:wordWrap/>
              <w:topLinePunct w:val="0"/>
              <w:bidi w:val="0"/>
              <w:snapToGrid w:val="0"/>
              <w:spacing w:beforeAutospacing="0" w:afterAutospacing="0" w:line="440" w:lineRule="exact"/>
              <w:ind w:right="0" w:rightChars="0"/>
              <w:jc w:val="center"/>
              <w:textAlignment w:val="auto"/>
              <w:rPr>
                <w:rFonts w:hint="default" w:ascii="仿宋" w:eastAsia="仿宋" w:hAnsiTheme="minorEastAsia" w:cstheme="minorEastAsia"/>
                <w:b/>
                <w:bCs/>
                <w:sz w:val="24"/>
                <w:szCs w:val="24"/>
                <w:lang w:val="en-US" w:eastAsia="zh-CN"/>
              </w:rPr>
            </w:pPr>
            <w:r>
              <w:rPr>
                <w:rFonts w:hint="eastAsia" w:ascii="仿宋" w:hAnsi="仿宋" w:eastAsia="仿宋" w:cs="仿宋"/>
                <w:b/>
                <w:sz w:val="24"/>
                <w:szCs w:val="24"/>
                <w:vertAlign w:val="baseline"/>
                <w:lang w:val="en-US" w:eastAsia="zh-CN"/>
              </w:rPr>
              <w:t>序号</w:t>
            </w:r>
          </w:p>
        </w:tc>
        <w:tc>
          <w:tcPr>
            <w:tcW w:w="1821" w:type="dxa"/>
            <w:noWrap/>
            <w:vAlign w:val="center"/>
          </w:tcPr>
          <w:p w14:paraId="32A83BD7">
            <w:pPr>
              <w:pageBreakBefore w:val="0"/>
              <w:kinsoku/>
              <w:wordWrap/>
              <w:topLinePunct w:val="0"/>
              <w:bidi w:val="0"/>
              <w:snapToGrid w:val="0"/>
              <w:spacing w:beforeAutospacing="0" w:afterAutospacing="0" w:line="440" w:lineRule="exact"/>
              <w:ind w:left="0" w:leftChars="0" w:right="0" w:rightChars="0"/>
              <w:jc w:val="center"/>
              <w:textAlignment w:val="auto"/>
              <w:rPr>
                <w:rFonts w:hint="eastAsia" w:ascii="仿宋" w:hAnsi="仿宋" w:eastAsia="仿宋" w:cs="仿宋"/>
                <w:b/>
                <w:bCs w:val="0"/>
                <w:sz w:val="24"/>
                <w:szCs w:val="24"/>
                <w:lang w:eastAsia="zh-CN"/>
              </w:rPr>
            </w:pPr>
            <w:r>
              <w:rPr>
                <w:rFonts w:hint="eastAsia" w:ascii="仿宋" w:hAnsi="仿宋" w:eastAsia="仿宋" w:cs="仿宋"/>
                <w:b/>
                <w:bCs w:val="0"/>
                <w:sz w:val="24"/>
                <w:szCs w:val="24"/>
                <w:lang w:eastAsia="zh-CN"/>
              </w:rPr>
              <w:t>服务名称</w:t>
            </w:r>
          </w:p>
          <w:p w14:paraId="38FEBBA0">
            <w:pPr>
              <w:pageBreakBefore w:val="0"/>
              <w:kinsoku/>
              <w:wordWrap/>
              <w:topLinePunct w:val="0"/>
              <w:bidi w:val="0"/>
              <w:snapToGrid w:val="0"/>
              <w:spacing w:beforeAutospacing="0" w:afterAutospacing="0" w:line="440" w:lineRule="exact"/>
              <w:ind w:left="0" w:leftChars="0" w:right="0" w:rightChars="0"/>
              <w:jc w:val="center"/>
              <w:textAlignment w:val="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eastAsia="zh-CN"/>
              </w:rPr>
              <w:t>（标的名称）</w:t>
            </w:r>
          </w:p>
        </w:tc>
        <w:tc>
          <w:tcPr>
            <w:tcW w:w="4256" w:type="dxa"/>
            <w:noWrap/>
            <w:vAlign w:val="center"/>
          </w:tcPr>
          <w:p w14:paraId="4CCC650A">
            <w:pPr>
              <w:pageBreakBefore w:val="0"/>
              <w:kinsoku/>
              <w:wordWrap/>
              <w:topLinePunct w:val="0"/>
              <w:bidi w:val="0"/>
              <w:snapToGrid w:val="0"/>
              <w:spacing w:beforeAutospacing="0" w:afterAutospacing="0" w:line="440" w:lineRule="exact"/>
              <w:ind w:left="0" w:leftChars="0" w:right="0" w:rightChars="0"/>
              <w:jc w:val="center"/>
              <w:textAlignment w:val="auto"/>
              <w:rPr>
                <w:rFonts w:hint="eastAsia" w:ascii="仿宋" w:eastAsia="仿宋" w:hAnsiTheme="minorEastAsia" w:cstheme="minorEastAsia"/>
                <w:b/>
                <w:bCs/>
                <w:sz w:val="24"/>
                <w:szCs w:val="24"/>
                <w:lang w:val="en-US" w:eastAsia="zh-CN"/>
              </w:rPr>
            </w:pPr>
            <w:r>
              <w:rPr>
                <w:rFonts w:hint="eastAsia" w:ascii="仿宋" w:hAnsi="仿宋" w:eastAsia="仿宋" w:cs="仿宋"/>
                <w:b/>
                <w:bCs w:val="0"/>
                <w:sz w:val="24"/>
                <w:szCs w:val="24"/>
                <w:vertAlign w:val="baseline"/>
                <w:lang w:val="en-US" w:eastAsia="zh-CN"/>
              </w:rPr>
              <w:t>技术指标及参数</w:t>
            </w:r>
          </w:p>
        </w:tc>
        <w:tc>
          <w:tcPr>
            <w:tcW w:w="856" w:type="dxa"/>
            <w:noWrap/>
            <w:vAlign w:val="center"/>
          </w:tcPr>
          <w:p w14:paraId="77E5C572">
            <w:pPr>
              <w:pageBreakBefore w:val="0"/>
              <w:kinsoku/>
              <w:wordWrap/>
              <w:topLinePunct w:val="0"/>
              <w:bidi w:val="0"/>
              <w:snapToGrid w:val="0"/>
              <w:spacing w:beforeAutospacing="0" w:afterAutospacing="0" w:line="440" w:lineRule="exact"/>
              <w:ind w:left="0" w:leftChars="0" w:right="0" w:rightChars="0"/>
              <w:jc w:val="center"/>
              <w:textAlignment w:val="auto"/>
              <w:rPr>
                <w:rFonts w:hint="eastAsia" w:ascii="仿宋" w:eastAsia="仿宋" w:hAnsiTheme="minorEastAsia" w:cstheme="minorEastAsia"/>
                <w:b/>
                <w:bCs/>
                <w:sz w:val="24"/>
                <w:szCs w:val="24"/>
                <w:lang w:val="en-US" w:eastAsia="zh-CN"/>
              </w:rPr>
            </w:pPr>
            <w:r>
              <w:rPr>
                <w:rFonts w:hint="eastAsia" w:ascii="仿宋" w:hAnsi="仿宋" w:eastAsia="仿宋" w:cs="仿宋"/>
                <w:b/>
                <w:sz w:val="24"/>
                <w:szCs w:val="24"/>
                <w:lang w:eastAsia="zh-CN"/>
              </w:rPr>
              <w:t>数量</w:t>
            </w:r>
          </w:p>
        </w:tc>
        <w:tc>
          <w:tcPr>
            <w:tcW w:w="856" w:type="dxa"/>
            <w:noWrap/>
            <w:vAlign w:val="center"/>
          </w:tcPr>
          <w:p w14:paraId="1CBC8EE8">
            <w:pPr>
              <w:pageBreakBefore w:val="0"/>
              <w:kinsoku/>
              <w:wordWrap/>
              <w:topLinePunct w:val="0"/>
              <w:bidi w:val="0"/>
              <w:snapToGrid w:val="0"/>
              <w:spacing w:beforeAutospacing="0" w:afterAutospacing="0" w:line="440" w:lineRule="exact"/>
              <w:ind w:left="0" w:leftChars="0" w:right="0" w:rightChars="0"/>
              <w:jc w:val="center"/>
              <w:textAlignment w:val="auto"/>
              <w:rPr>
                <w:rFonts w:hint="eastAsia" w:ascii="仿宋" w:eastAsia="仿宋" w:hAnsiTheme="minorEastAsia" w:cstheme="minorEastAsia"/>
                <w:b/>
                <w:bCs/>
                <w:sz w:val="24"/>
                <w:szCs w:val="24"/>
                <w:lang w:val="en-US" w:eastAsia="zh-CN"/>
              </w:rPr>
            </w:pPr>
            <w:r>
              <w:rPr>
                <w:rFonts w:hint="eastAsia" w:ascii="仿宋" w:hAnsi="仿宋" w:eastAsia="仿宋" w:cs="仿宋"/>
                <w:b/>
                <w:sz w:val="24"/>
                <w:szCs w:val="24"/>
                <w:lang w:eastAsia="zh-CN"/>
              </w:rPr>
              <w:t>单位</w:t>
            </w:r>
          </w:p>
        </w:tc>
      </w:tr>
      <w:tr w14:paraId="2E488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856" w:type="dxa"/>
            <w:shd w:val="clear" w:color="auto" w:fill="FFFFFF"/>
            <w:noWrap/>
            <w:vAlign w:val="center"/>
          </w:tcPr>
          <w:p w14:paraId="76286237">
            <w:pPr>
              <w:pStyle w:val="6"/>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right="0" w:rightChars="0"/>
              <w:jc w:val="center"/>
              <w:textAlignment w:val="auto"/>
              <w:rPr>
                <w:rFonts w:hint="eastAsia" w:ascii="仿宋" w:eastAsia="仿宋" w:hAnsiTheme="minorEastAsia" w:cstheme="minorEastAsia"/>
                <w:b w:val="0"/>
                <w:bCs w:val="0"/>
                <w:sz w:val="24"/>
                <w:szCs w:val="22"/>
                <w:lang w:val="en-US" w:eastAsia="zh-CN"/>
              </w:rPr>
            </w:pPr>
            <w:r>
              <w:rPr>
                <w:rFonts w:hint="eastAsia" w:ascii="仿宋" w:hAnsi="仿宋" w:eastAsia="仿宋" w:cs="仿宋"/>
                <w:b/>
                <w:bCs w:val="0"/>
                <w:sz w:val="24"/>
                <w:szCs w:val="22"/>
                <w:vertAlign w:val="baseline"/>
                <w:lang w:val="en-US" w:eastAsia="zh-CN"/>
              </w:rPr>
              <w:t>1</w:t>
            </w:r>
          </w:p>
        </w:tc>
        <w:tc>
          <w:tcPr>
            <w:tcW w:w="1821" w:type="dxa"/>
            <w:shd w:val="clear" w:color="auto" w:fill="FFFFFF"/>
            <w:noWrap/>
            <w:vAlign w:val="center"/>
          </w:tcPr>
          <w:p w14:paraId="41B0D9A8">
            <w:pPr>
              <w:pStyle w:val="6"/>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right="0" w:rightChars="0"/>
              <w:jc w:val="center"/>
              <w:textAlignment w:val="auto"/>
              <w:rPr>
                <w:rFonts w:hint="default" w:ascii="仿宋" w:eastAsia="仿宋" w:hAnsiTheme="minorEastAsia" w:cstheme="minorEastAsia"/>
                <w:b w:val="0"/>
                <w:bCs w:val="0"/>
                <w:sz w:val="24"/>
                <w:szCs w:val="22"/>
                <w:lang w:val="en-US" w:eastAsia="zh-CN"/>
              </w:rPr>
            </w:pPr>
            <w:r>
              <w:rPr>
                <w:rFonts w:hint="eastAsia" w:ascii="仿宋" w:hAnsi="仿宋" w:eastAsia="仿宋" w:cs="仿宋"/>
                <w:sz w:val="24"/>
                <w:szCs w:val="24"/>
              </w:rPr>
              <w:t>医保电子处方</w:t>
            </w:r>
            <w:r>
              <w:rPr>
                <w:rFonts w:hint="eastAsia" w:ascii="仿宋" w:hAnsi="仿宋" w:eastAsia="仿宋" w:cs="仿宋"/>
                <w:sz w:val="24"/>
                <w:szCs w:val="24"/>
                <w:lang w:eastAsia="zh-CN"/>
              </w:rPr>
              <w:t>流转</w:t>
            </w:r>
            <w:r>
              <w:rPr>
                <w:rFonts w:hint="eastAsia" w:ascii="仿宋" w:hAnsi="仿宋" w:eastAsia="仿宋" w:cs="仿宋"/>
                <w:sz w:val="24"/>
                <w:szCs w:val="24"/>
              </w:rPr>
              <w:t>接口改造</w:t>
            </w:r>
          </w:p>
        </w:tc>
        <w:tc>
          <w:tcPr>
            <w:tcW w:w="4256" w:type="dxa"/>
            <w:noWrap/>
            <w:vAlign w:val="center"/>
          </w:tcPr>
          <w:p w14:paraId="1F464D78">
            <w:pPr>
              <w:pStyle w:val="40"/>
              <w:kinsoku/>
              <w:wordWrap/>
              <w:overflowPunct/>
              <w:topLinePunct w:val="0"/>
              <w:autoSpaceDE/>
              <w:autoSpaceDN/>
              <w:bidi w:val="0"/>
              <w:adjustRightInd/>
              <w:snapToGrid w:val="0"/>
              <w:spacing w:line="440" w:lineRule="exact"/>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电子处方具有全程留痕、可追溯的特征，能有效防止虚假处方和违规售药行为，保障医保基金合理使用。</w:t>
            </w:r>
          </w:p>
          <w:p w14:paraId="190075D7">
            <w:pPr>
              <w:pStyle w:val="40"/>
              <w:kinsoku/>
              <w:wordWrap/>
              <w:overflowPunct/>
              <w:topLinePunct w:val="0"/>
              <w:autoSpaceDE/>
              <w:autoSpaceDN/>
              <w:bidi w:val="0"/>
              <w:adjustRightInd/>
              <w:snapToGrid w:val="0"/>
              <w:spacing w:line="440" w:lineRule="exact"/>
              <w:ind w:left="0" w:leftChars="0" w:firstLine="0" w:firstLineChars="0"/>
              <w:jc w:val="left"/>
              <w:textAlignment w:val="auto"/>
              <w:rPr>
                <w:rFonts w:hint="eastAsia" w:ascii="仿宋" w:eastAsia="仿宋" w:hAnsiTheme="minorEastAsia" w:cstheme="minorEastAsia"/>
                <w:b w:val="0"/>
                <w:bCs w:val="0"/>
                <w:sz w:val="24"/>
                <w:szCs w:val="22"/>
                <w:lang w:val="en-US" w:eastAsia="zh-CN"/>
              </w:rPr>
            </w:pPr>
            <w:r>
              <w:rPr>
                <w:rFonts w:hint="eastAsia" w:ascii="仿宋" w:hAnsi="仿宋" w:eastAsia="仿宋" w:cs="仿宋"/>
                <w:sz w:val="24"/>
                <w:szCs w:val="24"/>
              </w:rPr>
              <w:t>医保部门需要通过电子处方实现全流程闭环管理。</w:t>
            </w:r>
          </w:p>
        </w:tc>
        <w:tc>
          <w:tcPr>
            <w:tcW w:w="856" w:type="dxa"/>
            <w:noWrap/>
            <w:vAlign w:val="center"/>
          </w:tcPr>
          <w:p w14:paraId="2BEADF68">
            <w:pPr>
              <w:pStyle w:val="6"/>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right="0" w:rightChars="0"/>
              <w:jc w:val="center"/>
              <w:textAlignment w:val="auto"/>
              <w:rPr>
                <w:rFonts w:hint="eastAsia" w:ascii="仿宋" w:eastAsia="仿宋" w:hAnsiTheme="minorEastAsia" w:cstheme="minorEastAsia"/>
                <w:b w:val="0"/>
                <w:bCs w:val="0"/>
                <w:sz w:val="24"/>
                <w:szCs w:val="22"/>
                <w:lang w:val="en-US" w:eastAsia="zh-CN"/>
              </w:rPr>
            </w:pPr>
            <w:r>
              <w:rPr>
                <w:rFonts w:hint="eastAsia" w:ascii="仿宋" w:hAnsi="仿宋" w:eastAsia="仿宋" w:cs="仿宋"/>
                <w:b w:val="0"/>
                <w:bCs/>
                <w:sz w:val="24"/>
                <w:szCs w:val="22"/>
                <w:vertAlign w:val="baseline"/>
                <w:lang w:val="en-US" w:eastAsia="zh-CN"/>
              </w:rPr>
              <w:t>1</w:t>
            </w:r>
          </w:p>
        </w:tc>
        <w:tc>
          <w:tcPr>
            <w:tcW w:w="856" w:type="dxa"/>
            <w:noWrap/>
            <w:vAlign w:val="center"/>
          </w:tcPr>
          <w:p w14:paraId="214C1AF6">
            <w:pPr>
              <w:pStyle w:val="6"/>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right="0" w:rightChars="0"/>
              <w:jc w:val="center"/>
              <w:textAlignment w:val="auto"/>
              <w:rPr>
                <w:rFonts w:hint="eastAsia" w:ascii="仿宋" w:eastAsia="仿宋" w:hAnsiTheme="minorEastAsia" w:cstheme="minorEastAsia"/>
                <w:b w:val="0"/>
                <w:bCs w:val="0"/>
                <w:sz w:val="24"/>
                <w:szCs w:val="22"/>
                <w:lang w:val="en-US" w:eastAsia="zh-CN"/>
              </w:rPr>
            </w:pPr>
            <w:r>
              <w:rPr>
                <w:rFonts w:hint="eastAsia" w:ascii="仿宋" w:hAnsi="仿宋" w:eastAsia="仿宋" w:cs="仿宋"/>
                <w:b w:val="0"/>
                <w:bCs/>
                <w:sz w:val="24"/>
                <w:szCs w:val="22"/>
                <w:vertAlign w:val="baseline"/>
                <w:lang w:val="en-US" w:eastAsia="zh-CN"/>
              </w:rPr>
              <w:t>项</w:t>
            </w:r>
          </w:p>
        </w:tc>
      </w:tr>
      <w:tr w14:paraId="275F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856" w:type="dxa"/>
            <w:shd w:val="clear" w:color="auto" w:fill="FFFFFF"/>
            <w:noWrap/>
            <w:vAlign w:val="center"/>
          </w:tcPr>
          <w:p w14:paraId="2022D0ED">
            <w:pPr>
              <w:pStyle w:val="6"/>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right="0" w:rightChars="0"/>
              <w:jc w:val="center"/>
              <w:textAlignment w:val="auto"/>
              <w:rPr>
                <w:rFonts w:hint="eastAsia" w:ascii="仿宋" w:eastAsia="仿宋" w:hAnsiTheme="minorEastAsia" w:cstheme="minorEastAsia"/>
                <w:b w:val="0"/>
                <w:bCs w:val="0"/>
                <w:sz w:val="24"/>
                <w:szCs w:val="22"/>
                <w:lang w:val="en-US" w:eastAsia="zh-CN"/>
              </w:rPr>
            </w:pPr>
            <w:r>
              <w:rPr>
                <w:rFonts w:hint="eastAsia" w:ascii="仿宋" w:hAnsi="仿宋" w:eastAsia="仿宋" w:cs="仿宋"/>
                <w:b/>
                <w:bCs w:val="0"/>
                <w:sz w:val="24"/>
                <w:szCs w:val="22"/>
                <w:vertAlign w:val="baseline"/>
                <w:lang w:val="en-US" w:eastAsia="zh-CN"/>
              </w:rPr>
              <w:t>2</w:t>
            </w:r>
          </w:p>
        </w:tc>
        <w:tc>
          <w:tcPr>
            <w:tcW w:w="1821" w:type="dxa"/>
            <w:shd w:val="clear" w:color="auto" w:fill="FFFFFF"/>
            <w:noWrap/>
            <w:vAlign w:val="center"/>
          </w:tcPr>
          <w:p w14:paraId="2DF4FFE7">
            <w:pPr>
              <w:pStyle w:val="6"/>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right="0" w:rightChars="0"/>
              <w:jc w:val="center"/>
              <w:textAlignment w:val="auto"/>
              <w:rPr>
                <w:rFonts w:hint="eastAsia" w:ascii="仿宋" w:eastAsia="仿宋" w:hAnsiTheme="minorEastAsia" w:cstheme="minorEastAsia"/>
                <w:b w:val="0"/>
                <w:bCs w:val="0"/>
                <w:sz w:val="24"/>
                <w:szCs w:val="22"/>
                <w:lang w:val="en-US" w:eastAsia="zh-CN"/>
              </w:rPr>
            </w:pPr>
            <w:r>
              <w:rPr>
                <w:rFonts w:hint="eastAsia" w:ascii="仿宋" w:hAnsi="仿宋" w:eastAsia="仿宋" w:cs="仿宋"/>
                <w:sz w:val="24"/>
                <w:szCs w:val="24"/>
              </w:rPr>
              <w:t>医保电子移动支付接口改造</w:t>
            </w:r>
          </w:p>
        </w:tc>
        <w:tc>
          <w:tcPr>
            <w:tcW w:w="4256" w:type="dxa"/>
            <w:noWrap/>
            <w:vAlign w:val="center"/>
          </w:tcPr>
          <w:p w14:paraId="7EB94E13">
            <w:pPr>
              <w:pStyle w:val="6"/>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right="0" w:rightChars="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需支持挂号/诊间支付统一下单API接口、查询支付订单、支付结果通知接口；</w:t>
            </w:r>
          </w:p>
          <w:p w14:paraId="711567CF">
            <w:pPr>
              <w:pStyle w:val="6"/>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right="0" w:rightChars="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需实现申请退款、退款查询接口功能；</w:t>
            </w:r>
          </w:p>
          <w:p w14:paraId="093AC61F">
            <w:pPr>
              <w:pStyle w:val="6"/>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right="0" w:rightChars="0"/>
              <w:jc w:val="left"/>
              <w:textAlignment w:val="auto"/>
              <w:rPr>
                <w:rFonts w:hint="eastAsia" w:ascii="仿宋" w:eastAsia="仿宋" w:hAnsiTheme="minorEastAsia" w:cstheme="minorEastAsia"/>
                <w:b w:val="0"/>
                <w:bCs w:val="0"/>
                <w:sz w:val="24"/>
                <w:szCs w:val="22"/>
                <w:lang w:val="en-US" w:eastAsia="zh-CN"/>
              </w:rPr>
            </w:pPr>
            <w:r>
              <w:rPr>
                <w:rFonts w:hint="eastAsia" w:ascii="仿宋" w:hAnsi="仿宋" w:eastAsia="仿宋" w:cs="仿宋"/>
                <w:b w:val="0"/>
                <w:bCs/>
                <w:sz w:val="24"/>
                <w:szCs w:val="24"/>
              </w:rPr>
              <w:t>需支持医保待遇结算和个人负担部分支付。</w:t>
            </w:r>
          </w:p>
        </w:tc>
        <w:tc>
          <w:tcPr>
            <w:tcW w:w="856" w:type="dxa"/>
            <w:noWrap/>
            <w:vAlign w:val="center"/>
          </w:tcPr>
          <w:p w14:paraId="14B06AEA">
            <w:pPr>
              <w:pStyle w:val="6"/>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right="0" w:rightChars="0"/>
              <w:jc w:val="center"/>
              <w:textAlignment w:val="auto"/>
              <w:rPr>
                <w:rFonts w:hint="eastAsia" w:ascii="仿宋" w:eastAsia="仿宋" w:hAnsiTheme="minorEastAsia" w:cstheme="minorEastAsia"/>
                <w:b w:val="0"/>
                <w:bCs w:val="0"/>
                <w:sz w:val="24"/>
                <w:szCs w:val="22"/>
                <w:lang w:val="en-US" w:eastAsia="zh-CN"/>
              </w:rPr>
            </w:pPr>
            <w:r>
              <w:rPr>
                <w:rFonts w:hint="eastAsia" w:ascii="仿宋" w:hAnsi="仿宋" w:eastAsia="仿宋" w:cs="仿宋"/>
                <w:b w:val="0"/>
                <w:bCs/>
                <w:sz w:val="24"/>
                <w:szCs w:val="22"/>
                <w:vertAlign w:val="baseline"/>
                <w:lang w:val="en-US" w:eastAsia="zh-CN"/>
              </w:rPr>
              <w:t>1</w:t>
            </w:r>
          </w:p>
        </w:tc>
        <w:tc>
          <w:tcPr>
            <w:tcW w:w="856" w:type="dxa"/>
            <w:noWrap/>
            <w:vAlign w:val="center"/>
          </w:tcPr>
          <w:p w14:paraId="00ACF920">
            <w:pPr>
              <w:pStyle w:val="6"/>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right="0" w:rightChars="0"/>
              <w:jc w:val="center"/>
              <w:textAlignment w:val="auto"/>
              <w:rPr>
                <w:rFonts w:hint="eastAsia" w:ascii="仿宋" w:eastAsia="仿宋" w:hAnsiTheme="minorEastAsia" w:cstheme="minorEastAsia"/>
                <w:b w:val="0"/>
                <w:bCs w:val="0"/>
                <w:sz w:val="24"/>
                <w:szCs w:val="22"/>
                <w:lang w:val="en-US" w:eastAsia="zh-CN"/>
              </w:rPr>
            </w:pPr>
            <w:r>
              <w:rPr>
                <w:rFonts w:hint="eastAsia" w:ascii="仿宋" w:hAnsi="仿宋" w:eastAsia="仿宋" w:cs="仿宋"/>
                <w:b w:val="0"/>
                <w:bCs/>
                <w:sz w:val="24"/>
                <w:szCs w:val="22"/>
                <w:vertAlign w:val="baseline"/>
                <w:lang w:val="en-US" w:eastAsia="zh-CN"/>
              </w:rPr>
              <w:t>项</w:t>
            </w:r>
          </w:p>
        </w:tc>
      </w:tr>
      <w:tr w14:paraId="1777F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856" w:type="dxa"/>
            <w:shd w:val="clear" w:color="auto" w:fill="FFFFFF"/>
            <w:noWrap/>
            <w:vAlign w:val="center"/>
          </w:tcPr>
          <w:p w14:paraId="43909898">
            <w:pPr>
              <w:pStyle w:val="6"/>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right="0" w:rightChars="0"/>
              <w:jc w:val="center"/>
              <w:textAlignment w:val="auto"/>
              <w:rPr>
                <w:rFonts w:hint="eastAsia" w:ascii="仿宋" w:eastAsia="仿宋" w:hAnsiTheme="minorEastAsia" w:cstheme="minorEastAsia"/>
                <w:b w:val="0"/>
                <w:bCs w:val="0"/>
                <w:sz w:val="24"/>
                <w:szCs w:val="22"/>
                <w:lang w:val="en-US" w:eastAsia="zh-CN"/>
              </w:rPr>
            </w:pPr>
            <w:r>
              <w:rPr>
                <w:rFonts w:hint="eastAsia" w:ascii="仿宋" w:hAnsi="仿宋" w:eastAsia="仿宋" w:cs="仿宋"/>
                <w:b/>
                <w:bCs w:val="0"/>
                <w:sz w:val="24"/>
                <w:szCs w:val="22"/>
                <w:vertAlign w:val="baseline"/>
                <w:lang w:val="en-US" w:eastAsia="zh-CN"/>
              </w:rPr>
              <w:t>3</w:t>
            </w:r>
          </w:p>
        </w:tc>
        <w:tc>
          <w:tcPr>
            <w:tcW w:w="1821" w:type="dxa"/>
            <w:shd w:val="clear" w:color="auto" w:fill="FFFFFF"/>
            <w:noWrap/>
            <w:vAlign w:val="center"/>
          </w:tcPr>
          <w:p w14:paraId="6EABB013">
            <w:pPr>
              <w:pStyle w:val="6"/>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right="0" w:rightChars="0"/>
              <w:jc w:val="center"/>
              <w:textAlignment w:val="auto"/>
              <w:rPr>
                <w:rFonts w:hint="eastAsia" w:ascii="仿宋" w:eastAsia="仿宋" w:hAnsiTheme="minorEastAsia" w:cstheme="minorEastAsia"/>
                <w:b w:val="0"/>
                <w:bCs w:val="0"/>
                <w:sz w:val="24"/>
                <w:szCs w:val="22"/>
                <w:lang w:val="en-US" w:eastAsia="zh-CN"/>
              </w:rPr>
            </w:pPr>
            <w:r>
              <w:rPr>
                <w:rFonts w:hint="eastAsia" w:ascii="仿宋" w:hAnsi="仿宋" w:eastAsia="仿宋" w:cs="仿宋"/>
                <w:sz w:val="24"/>
                <w:szCs w:val="24"/>
              </w:rPr>
              <w:t>医保电子智能监控系统接口改造</w:t>
            </w:r>
          </w:p>
        </w:tc>
        <w:tc>
          <w:tcPr>
            <w:tcW w:w="4256" w:type="dxa"/>
            <w:noWrap/>
            <w:vAlign w:val="center"/>
          </w:tcPr>
          <w:p w14:paraId="14E8C7B3">
            <w:pPr>
              <w:pStyle w:val="40"/>
              <w:kinsoku/>
              <w:wordWrap/>
              <w:overflowPunct/>
              <w:topLinePunct w:val="0"/>
              <w:autoSpaceDE/>
              <w:autoSpaceDN/>
              <w:bidi w:val="0"/>
              <w:adjustRightInd/>
              <w:snapToGrid w:val="0"/>
              <w:spacing w:line="440" w:lineRule="exact"/>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‌违规识别能力‌：需支持药品进销存异常监管；</w:t>
            </w:r>
          </w:p>
          <w:p w14:paraId="5F4578D4">
            <w:pPr>
              <w:pStyle w:val="40"/>
              <w:kinsoku/>
              <w:wordWrap/>
              <w:overflowPunct/>
              <w:topLinePunct w:val="0"/>
              <w:autoSpaceDE/>
              <w:autoSpaceDN/>
              <w:bidi w:val="0"/>
              <w:adjustRightInd/>
              <w:snapToGrid w:val="0"/>
              <w:spacing w:line="440" w:lineRule="exact"/>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要求可疑违规行为识别准确率≥90%</w:t>
            </w:r>
          </w:p>
          <w:p w14:paraId="3474006C">
            <w:pPr>
              <w:pStyle w:val="40"/>
              <w:kinsoku/>
              <w:wordWrap/>
              <w:overflowPunct/>
              <w:topLinePunct w:val="0"/>
              <w:autoSpaceDE/>
              <w:autoSpaceDN/>
              <w:bidi w:val="0"/>
              <w:adjustRightInd/>
              <w:snapToGrid w:val="0"/>
              <w:spacing w:line="440" w:lineRule="exact"/>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‌基金追回效果‌：需建立线上初审、复核、申诉全流程管理机制；</w:t>
            </w:r>
          </w:p>
          <w:p w14:paraId="4F51E75C">
            <w:pPr>
              <w:pStyle w:val="40"/>
              <w:kinsoku/>
              <w:wordWrap/>
              <w:overflowPunct/>
              <w:topLinePunct w:val="0"/>
              <w:autoSpaceDE/>
              <w:autoSpaceDN/>
              <w:bidi w:val="0"/>
              <w:adjustRightInd/>
              <w:snapToGrid w:val="0"/>
              <w:spacing w:line="440" w:lineRule="exact"/>
              <w:ind w:left="0" w:leftChars="0" w:firstLine="0" w:firstLineChars="0"/>
              <w:jc w:val="left"/>
              <w:textAlignment w:val="auto"/>
              <w:rPr>
                <w:rFonts w:hint="eastAsia" w:ascii="仿宋" w:eastAsia="仿宋" w:hAnsiTheme="minorEastAsia" w:cstheme="minorEastAsia"/>
                <w:b w:val="0"/>
                <w:bCs w:val="0"/>
                <w:sz w:val="24"/>
                <w:szCs w:val="22"/>
                <w:lang w:val="en-US" w:eastAsia="zh-CN"/>
              </w:rPr>
            </w:pPr>
            <w:r>
              <w:rPr>
                <w:rFonts w:hint="eastAsia" w:ascii="仿宋" w:hAnsi="仿宋" w:eastAsia="仿宋" w:cs="仿宋"/>
                <w:sz w:val="24"/>
                <w:szCs w:val="24"/>
              </w:rPr>
              <w:t>应实现违规费用追溯和追回。</w:t>
            </w:r>
          </w:p>
        </w:tc>
        <w:tc>
          <w:tcPr>
            <w:tcW w:w="856" w:type="dxa"/>
            <w:noWrap/>
            <w:vAlign w:val="center"/>
          </w:tcPr>
          <w:p w14:paraId="14184BB7">
            <w:pPr>
              <w:pStyle w:val="6"/>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right="0" w:rightChars="0"/>
              <w:jc w:val="center"/>
              <w:textAlignment w:val="auto"/>
              <w:rPr>
                <w:rFonts w:hint="eastAsia" w:ascii="仿宋" w:eastAsia="仿宋" w:hAnsiTheme="minorEastAsia" w:cstheme="minorEastAsia"/>
                <w:b w:val="0"/>
                <w:bCs w:val="0"/>
                <w:sz w:val="24"/>
                <w:szCs w:val="22"/>
                <w:lang w:val="en-US" w:eastAsia="zh-CN"/>
              </w:rPr>
            </w:pPr>
            <w:r>
              <w:rPr>
                <w:rFonts w:hint="eastAsia" w:ascii="仿宋" w:hAnsi="仿宋" w:eastAsia="仿宋" w:cs="仿宋"/>
                <w:b w:val="0"/>
                <w:bCs/>
                <w:sz w:val="24"/>
                <w:szCs w:val="22"/>
                <w:vertAlign w:val="baseline"/>
                <w:lang w:val="en-US" w:eastAsia="zh-CN"/>
              </w:rPr>
              <w:t>1</w:t>
            </w:r>
          </w:p>
        </w:tc>
        <w:tc>
          <w:tcPr>
            <w:tcW w:w="856" w:type="dxa"/>
            <w:noWrap/>
            <w:vAlign w:val="center"/>
          </w:tcPr>
          <w:p w14:paraId="2D157462">
            <w:pPr>
              <w:pStyle w:val="6"/>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right="0" w:rightChars="0"/>
              <w:jc w:val="center"/>
              <w:textAlignment w:val="auto"/>
              <w:rPr>
                <w:rFonts w:hint="eastAsia" w:ascii="仿宋" w:eastAsia="仿宋" w:hAnsiTheme="minorEastAsia" w:cstheme="minorEastAsia"/>
                <w:b w:val="0"/>
                <w:bCs w:val="0"/>
                <w:sz w:val="24"/>
                <w:szCs w:val="22"/>
                <w:lang w:val="en-US" w:eastAsia="zh-CN"/>
              </w:rPr>
            </w:pPr>
            <w:r>
              <w:rPr>
                <w:rFonts w:hint="eastAsia" w:ascii="仿宋" w:hAnsi="仿宋" w:eastAsia="仿宋" w:cs="仿宋"/>
                <w:b w:val="0"/>
                <w:bCs/>
                <w:sz w:val="24"/>
                <w:szCs w:val="22"/>
                <w:vertAlign w:val="baseline"/>
                <w:lang w:val="en-US" w:eastAsia="zh-CN"/>
              </w:rPr>
              <w:t>项</w:t>
            </w:r>
          </w:p>
        </w:tc>
      </w:tr>
    </w:tbl>
    <w:p w14:paraId="137E5D67">
      <w:pPr>
        <w:jc w:val="both"/>
        <w:rPr>
          <w:rFonts w:hint="eastAsia" w:asciiTheme="minorEastAsia" w:hAnsiTheme="minorEastAsia" w:eastAsiaTheme="minorEastAsia" w:cstheme="minorEastAsia"/>
          <w:b/>
          <w:color w:val="000000"/>
          <w:sz w:val="24"/>
          <w:szCs w:val="24"/>
          <w:lang w:val="en-US" w:eastAsia="zh-CN"/>
        </w:rPr>
      </w:pPr>
    </w:p>
    <w:p w14:paraId="329A9A26">
      <w:pPr>
        <w:jc w:val="center"/>
        <w:rPr>
          <w:rFonts w:hint="eastAsia" w:asciiTheme="minorEastAsia" w:hAnsiTheme="minorEastAsia" w:eastAsiaTheme="minorEastAsia" w:cstheme="minorEastAsia"/>
          <w:b/>
          <w:color w:val="000000"/>
          <w:sz w:val="24"/>
          <w:szCs w:val="24"/>
          <w:lang w:val="en-US" w:eastAsia="zh-CN"/>
        </w:rPr>
      </w:pPr>
    </w:p>
    <w:p w14:paraId="1DFBCBA5">
      <w:pPr>
        <w:jc w:val="center"/>
        <w:rPr>
          <w:rFonts w:hint="eastAsia" w:asciiTheme="minorEastAsia" w:hAnsiTheme="minorEastAsia" w:eastAsiaTheme="minorEastAsia" w:cstheme="minorEastAsia"/>
          <w:b/>
          <w:color w:val="000000"/>
          <w:sz w:val="24"/>
          <w:szCs w:val="24"/>
          <w:lang w:val="en-US" w:eastAsia="zh-CN"/>
        </w:rPr>
      </w:pPr>
    </w:p>
    <w:p w14:paraId="75F162D0">
      <w:pPr>
        <w:jc w:val="center"/>
        <w:rPr>
          <w:rFonts w:hint="eastAsia" w:asciiTheme="minorEastAsia" w:hAnsiTheme="minorEastAsia" w:eastAsiaTheme="minorEastAsia" w:cstheme="minorEastAsia"/>
          <w:b/>
          <w:color w:val="000000"/>
          <w:sz w:val="24"/>
          <w:szCs w:val="24"/>
          <w:lang w:val="en-US" w:eastAsia="zh-CN"/>
        </w:rPr>
      </w:pPr>
    </w:p>
    <w:p w14:paraId="683E6589">
      <w:pPr>
        <w:jc w:val="center"/>
        <w:rPr>
          <w:rFonts w:hint="eastAsia" w:asciiTheme="minorEastAsia" w:hAnsiTheme="minorEastAsia" w:eastAsiaTheme="minorEastAsia" w:cstheme="minorEastAsia"/>
          <w:b/>
          <w:color w:val="000000"/>
          <w:sz w:val="24"/>
          <w:szCs w:val="24"/>
          <w:lang w:val="en-US" w:eastAsia="zh-CN"/>
        </w:rPr>
      </w:pPr>
    </w:p>
    <w:p w14:paraId="26B59880">
      <w:pPr>
        <w:jc w:val="center"/>
        <w:rPr>
          <w:rFonts w:hint="eastAsia" w:asciiTheme="minorEastAsia" w:hAnsiTheme="minorEastAsia" w:eastAsiaTheme="minorEastAsia" w:cstheme="minorEastAsia"/>
          <w:b/>
          <w:color w:val="000000"/>
          <w:sz w:val="24"/>
          <w:szCs w:val="24"/>
          <w:lang w:val="en-US" w:eastAsia="zh-CN"/>
        </w:rPr>
      </w:pPr>
    </w:p>
    <w:p w14:paraId="1C4F26DF">
      <w:pPr>
        <w:jc w:val="center"/>
        <w:rPr>
          <w:rFonts w:hint="eastAsia" w:asciiTheme="minorEastAsia" w:hAnsiTheme="minorEastAsia" w:eastAsiaTheme="minorEastAsia" w:cstheme="minorEastAsia"/>
          <w:b/>
          <w:color w:val="000000"/>
          <w:sz w:val="24"/>
          <w:szCs w:val="24"/>
          <w:lang w:val="en-US" w:eastAsia="zh-CN"/>
        </w:rPr>
      </w:pPr>
    </w:p>
    <w:p w14:paraId="7BCAF646">
      <w:pPr>
        <w:spacing w:line="340" w:lineRule="exact"/>
        <w:ind w:firstLine="480" w:firstLineChars="200"/>
        <w:rPr>
          <w:rFonts w:hint="eastAsia" w:asciiTheme="minorEastAsia" w:hAnsiTheme="minorEastAsia" w:eastAsiaTheme="minorEastAsia" w:cstheme="minorEastAsia"/>
          <w:b w:val="0"/>
          <w:bCs w:val="0"/>
          <w:sz w:val="24"/>
          <w:szCs w:val="24"/>
          <w:lang w:val="en-US" w:eastAsia="zh-CN"/>
        </w:rPr>
      </w:pPr>
    </w:p>
    <w:p w14:paraId="6C238AF4">
      <w:pPr>
        <w:jc w:val="center"/>
        <w:rPr>
          <w:rFonts w:hint="eastAsia" w:ascii="仿宋" w:hAnsi="仿宋" w:eastAsia="仿宋" w:cs="仿宋"/>
          <w:b/>
          <w:bCs w:val="0"/>
          <w:sz w:val="24"/>
          <w:szCs w:val="24"/>
          <w:lang w:val="en-US" w:eastAsia="zh-CN"/>
        </w:rPr>
      </w:pPr>
      <w:r>
        <w:rPr>
          <w:rFonts w:hint="eastAsia" w:asciiTheme="minorEastAsia" w:hAnsiTheme="minorEastAsia" w:eastAsiaTheme="minorEastAsia" w:cstheme="minorEastAsia"/>
          <w:b/>
          <w:color w:val="000000"/>
          <w:sz w:val="24"/>
          <w:szCs w:val="24"/>
          <w:lang w:val="en-US" w:eastAsia="zh-CN"/>
        </w:rPr>
        <w:t xml:space="preserve"> </w:t>
      </w:r>
      <w:r>
        <w:rPr>
          <w:rFonts w:hint="eastAsia" w:ascii="仿宋" w:hAnsi="仿宋" w:eastAsia="仿宋" w:cs="仿宋"/>
          <w:b/>
          <w:bCs w:val="0"/>
          <w:sz w:val="24"/>
          <w:szCs w:val="24"/>
          <w:lang w:val="en-US" w:eastAsia="zh-CN"/>
        </w:rPr>
        <w:t xml:space="preserve">      （二）服务内容</w:t>
      </w:r>
    </w:p>
    <w:p w14:paraId="0150A64C">
      <w:pPr>
        <w:pStyle w:val="40"/>
        <w:pageBreakBefore w:val="0"/>
        <w:widowControl/>
        <w:numPr>
          <w:ilvl w:val="0"/>
          <w:numId w:val="0"/>
        </w:numPr>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1.1 项目名称</w:t>
      </w:r>
    </w:p>
    <w:p w14:paraId="1F96C7D0">
      <w:pPr>
        <w:pStyle w:val="3"/>
        <w:kinsoku/>
        <w:wordWrap/>
        <w:overflowPunct/>
        <w:topLinePunct w:val="0"/>
        <w:autoSpaceDE/>
        <w:autoSpaceDN/>
        <w:bidi w:val="0"/>
        <w:adjustRightInd/>
        <w:snapToGrid/>
        <w:spacing w:before="0" w:beforeLines="0" w:after="0" w:afterLines="0" w:line="440" w:lineRule="exact"/>
        <w:ind w:firstLine="480" w:firstLineChars="200"/>
        <w:jc w:val="both"/>
        <w:textAlignment w:val="auto"/>
        <w:rPr>
          <w:rFonts w:hint="eastAsia" w:ascii="仿宋" w:hAnsi="仿宋" w:eastAsia="仿宋" w:cs="仿宋"/>
          <w:b w:val="0"/>
          <w:bCs/>
          <w:sz w:val="24"/>
          <w:szCs w:val="24"/>
        </w:rPr>
      </w:pPr>
      <w:bookmarkStart w:id="1" w:name="_Toc208416084"/>
      <w:r>
        <w:rPr>
          <w:rFonts w:hint="eastAsia" w:ascii="仿宋" w:hAnsi="仿宋" w:eastAsia="仿宋" w:cs="仿宋"/>
          <w:b w:val="0"/>
          <w:bCs/>
          <w:sz w:val="24"/>
          <w:szCs w:val="24"/>
        </w:rPr>
        <w:t>马鞍山市中医院医保电子处方流转、智能监控及移动支付服务项目</w:t>
      </w:r>
    </w:p>
    <w:p w14:paraId="5785EE87">
      <w:pPr>
        <w:pStyle w:val="3"/>
        <w:kinsoku/>
        <w:wordWrap/>
        <w:overflowPunct/>
        <w:topLinePunct w:val="0"/>
        <w:autoSpaceDE/>
        <w:autoSpaceDN/>
        <w:bidi w:val="0"/>
        <w:adjustRightInd/>
        <w:snapToGrid/>
        <w:spacing w:before="0" w:beforeLines="0" w:after="0" w:afterLines="0" w:line="440" w:lineRule="exact"/>
        <w:ind w:firstLine="480"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1.2 项目建设方案编制依据</w:t>
      </w:r>
      <w:bookmarkEnd w:id="1"/>
    </w:p>
    <w:p w14:paraId="1B31B4EE">
      <w:pPr>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1）“互联网+政务服务”技术体系建设指南</w:t>
      </w:r>
    </w:p>
    <w:p w14:paraId="75D5E7B8">
      <w:pPr>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2）政务信息资源类规范、标准</w:t>
      </w:r>
    </w:p>
    <w:p w14:paraId="54F35A4D">
      <w:pPr>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color w:val="FF0000"/>
          <w:sz w:val="24"/>
          <w:szCs w:val="24"/>
        </w:rPr>
      </w:pPr>
      <w:r>
        <w:rPr>
          <w:rFonts w:hint="eastAsia" w:ascii="仿宋" w:hAnsi="仿宋" w:eastAsia="仿宋" w:cs="仿宋"/>
          <w:sz w:val="24"/>
          <w:szCs w:val="24"/>
        </w:rPr>
        <w:t>3）国家、省级、行业建设规范</w:t>
      </w:r>
    </w:p>
    <w:p w14:paraId="0DC02090">
      <w:pPr>
        <w:pStyle w:val="41"/>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rPr>
        <w:t>第一：行业标准：</w:t>
      </w:r>
    </w:p>
    <w:p w14:paraId="00696BFF">
      <w:pPr>
        <w:pStyle w:val="41"/>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《2016年深入落实进一步改善医疗服务行动计划重点工作方案》（国卫办医函（2016）362号）</w:t>
      </w:r>
    </w:p>
    <w:p w14:paraId="5EFB29CA">
      <w:pPr>
        <w:pStyle w:val="41"/>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《关于推进按病种收费工作的通知》（发改价格[2017]68号）</w:t>
      </w:r>
    </w:p>
    <w:p w14:paraId="50B2DFE1">
      <w:pPr>
        <w:pStyle w:val="41"/>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《“健康中国2030”规划纲要》</w:t>
      </w:r>
    </w:p>
    <w:p w14:paraId="046E5473">
      <w:pPr>
        <w:pStyle w:val="41"/>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“十三五”深化医药卫生体制改革规划》（国发（2016）78号）</w:t>
      </w:r>
    </w:p>
    <w:p w14:paraId="496BCA66">
      <w:pPr>
        <w:pStyle w:val="41"/>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GB/T 38541—2020《信息安全技术电子文件密码应用指南》</w:t>
      </w:r>
    </w:p>
    <w:p w14:paraId="1B0CF6D1">
      <w:pPr>
        <w:pStyle w:val="41"/>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GB/T 35273—2020《信息安全技术个人信息安全规范》</w:t>
      </w:r>
    </w:p>
    <w:p w14:paraId="42AD5D3B">
      <w:pPr>
        <w:pStyle w:val="41"/>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GB/T 20272—2019《信息安全技术操作系统安全技术要求》</w:t>
      </w:r>
    </w:p>
    <w:p w14:paraId="3681ABAE">
      <w:pPr>
        <w:pStyle w:val="41"/>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GB/T 20273—2019《信息安全技术数据库管理系统安全技术要求》</w:t>
      </w:r>
    </w:p>
    <w:p w14:paraId="5579C403">
      <w:pPr>
        <w:pStyle w:val="41"/>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2021年国家医保局《医疗保障基金使用监督管理条例》</w:t>
      </w:r>
    </w:p>
    <w:p w14:paraId="3CBE6A5A">
      <w:pPr>
        <w:pStyle w:val="41"/>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2023年国家医保局《关于进一步深入推进医疗保障基金智能审核和监控工作的通知》</w:t>
      </w:r>
    </w:p>
    <w:p w14:paraId="3E6A6463">
      <w:pPr>
        <w:pStyle w:val="41"/>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2025年4月国家医保局印发《关于开展智能监管改革试点的通知》</w:t>
      </w:r>
    </w:p>
    <w:p w14:paraId="7FF81802">
      <w:pPr>
        <w:pStyle w:val="41"/>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2024年国家医保局《关于规范医保药品外配处方管理的通知》</w:t>
      </w:r>
    </w:p>
    <w:p w14:paraId="4CBF26E2">
      <w:pPr>
        <w:pStyle w:val="41"/>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2025《医疗保障信息平台便民服务相关技术规范》(GB/T 45938—2025)</w:t>
      </w:r>
    </w:p>
    <w:p w14:paraId="73CB3740">
      <w:pPr>
        <w:pStyle w:val="41"/>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《医疗保障信息平台电子处方中心接口规范(2022版)》</w:t>
      </w:r>
    </w:p>
    <w:p w14:paraId="42515FB2">
      <w:pPr>
        <w:pStyle w:val="41"/>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rPr>
        <w:t>第二：接口及数据标准：</w:t>
      </w:r>
    </w:p>
    <w:p w14:paraId="65C7E29E">
      <w:pPr>
        <w:pStyle w:val="41"/>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支持TCP/IP协议、HTTP、HTTPS；</w:t>
      </w:r>
    </w:p>
    <w:p w14:paraId="04C6497B">
      <w:pPr>
        <w:pStyle w:val="41"/>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对数据库的访问支持ODBC，COM和JDBC；</w:t>
      </w:r>
    </w:p>
    <w:p w14:paraId="32049240">
      <w:pPr>
        <w:pStyle w:val="41"/>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支持XML、Web Service；</w:t>
      </w:r>
    </w:p>
    <w:p w14:paraId="779FB743">
      <w:pPr>
        <w:pStyle w:val="41"/>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支持HL7；</w:t>
      </w:r>
    </w:p>
    <w:p w14:paraId="48BA1031">
      <w:pPr>
        <w:pStyle w:val="41"/>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支持ICD-10、SNOMED、ASTM协议等国际信息交换标准；</w:t>
      </w:r>
    </w:p>
    <w:p w14:paraId="0A3A3698">
      <w:pPr>
        <w:pStyle w:val="41"/>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支持DICOM标准；</w:t>
      </w:r>
    </w:p>
    <w:p w14:paraId="7A958CFB">
      <w:pPr>
        <w:pStyle w:val="41"/>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支持UNICODE编码；</w:t>
      </w:r>
    </w:p>
    <w:p w14:paraId="666E9F5E">
      <w:pPr>
        <w:pStyle w:val="3"/>
        <w:kinsoku/>
        <w:wordWrap/>
        <w:overflowPunct/>
        <w:topLinePunct w:val="0"/>
        <w:autoSpaceDE/>
        <w:autoSpaceDN/>
        <w:bidi w:val="0"/>
        <w:adjustRightInd/>
        <w:snapToGrid/>
        <w:spacing w:before="0" w:beforeLines="0" w:after="0" w:afterLines="0" w:line="440" w:lineRule="exact"/>
        <w:ind w:firstLine="480" w:firstLineChars="200"/>
        <w:jc w:val="both"/>
        <w:textAlignment w:val="auto"/>
        <w:rPr>
          <w:rFonts w:hint="eastAsia" w:ascii="仿宋" w:hAnsi="仿宋" w:eastAsia="仿宋" w:cs="仿宋"/>
          <w:b/>
          <w:bCs/>
          <w:color w:val="FF0000"/>
          <w:sz w:val="24"/>
          <w:szCs w:val="24"/>
        </w:rPr>
      </w:pPr>
      <w:bookmarkStart w:id="2" w:name="_Toc208416085"/>
      <w:r>
        <w:rPr>
          <w:rFonts w:hint="eastAsia" w:ascii="仿宋" w:hAnsi="仿宋" w:eastAsia="仿宋" w:cs="仿宋"/>
          <w:b/>
          <w:bCs/>
          <w:sz w:val="24"/>
          <w:szCs w:val="24"/>
        </w:rPr>
        <w:t>1.3项目概况</w:t>
      </w:r>
      <w:bookmarkEnd w:id="2"/>
    </w:p>
    <w:p w14:paraId="3AEA7859">
      <w:pPr>
        <w:pStyle w:val="4"/>
        <w:kinsoku/>
        <w:wordWrap/>
        <w:overflowPunct/>
        <w:topLinePunct w:val="0"/>
        <w:autoSpaceDE/>
        <w:autoSpaceDN/>
        <w:bidi w:val="0"/>
        <w:adjustRightInd/>
        <w:snapToGrid/>
        <w:spacing w:before="0" w:beforeLines="0" w:after="0" w:afterLines="0" w:line="440" w:lineRule="exact"/>
        <w:ind w:firstLine="480" w:firstLineChars="200"/>
        <w:jc w:val="both"/>
        <w:textAlignment w:val="auto"/>
        <w:rPr>
          <w:rFonts w:hint="eastAsia" w:ascii="仿宋" w:hAnsi="仿宋" w:eastAsia="仿宋" w:cs="仿宋"/>
          <w:b/>
          <w:bCs/>
          <w:sz w:val="24"/>
          <w:szCs w:val="24"/>
        </w:rPr>
      </w:pPr>
      <w:bookmarkStart w:id="3" w:name="_Toc208416086"/>
      <w:r>
        <w:rPr>
          <w:rFonts w:hint="eastAsia" w:ascii="仿宋" w:hAnsi="仿宋" w:eastAsia="仿宋" w:cs="仿宋"/>
          <w:b/>
          <w:bCs/>
          <w:sz w:val="24"/>
          <w:szCs w:val="24"/>
        </w:rPr>
        <w:t>1.3.1 项目背景</w:t>
      </w:r>
      <w:bookmarkEnd w:id="3"/>
    </w:p>
    <w:p w14:paraId="62A5CE44">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近几年，医保政策调整频繁，政策的调整，往往涉及医保平台功能的变动，作为功能最终落地的医院，不可避免的做HIS系统的功能改造。最近年来，医保局连续下发通知，要求医院对接医保移动支付系统，医保智能监管系统，医保电子处方流转系统。</w:t>
      </w:r>
    </w:p>
    <w:p w14:paraId="0E46A240">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为落实省市医保局的政策要求，经我院多轮讨论，决定启动马鞍山市中医院医保系统医保移动支付系统接口，医保智能监管系统接口，医保电子处方流转系统接口对接项目。</w:t>
      </w:r>
    </w:p>
    <w:p w14:paraId="2A2B283B">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马鞍山市中医院医保移动支付系统对接，医保智能监管系统对接，医保电子处方流转系统对接一项复杂的系统工程，为保证工程能够顺利地进行实施，必须要制定科学、合理、切实可行的实施计划。一方面要从组织上进行落实，成立强有力的项目领导小组和经验丰富的项目实施队伍；另一方面要明确项目的内容，边界等核心要素，协助医院完成上级管理部门的要求，完善医保类相关功能的应用。</w:t>
      </w:r>
    </w:p>
    <w:p w14:paraId="31C66547">
      <w:pPr>
        <w:pStyle w:val="4"/>
        <w:kinsoku/>
        <w:wordWrap/>
        <w:overflowPunct/>
        <w:topLinePunct w:val="0"/>
        <w:autoSpaceDE/>
        <w:autoSpaceDN/>
        <w:bidi w:val="0"/>
        <w:adjustRightInd/>
        <w:snapToGrid/>
        <w:spacing w:before="0" w:beforeLines="0" w:after="0" w:afterLines="0" w:line="440" w:lineRule="exact"/>
        <w:ind w:firstLine="480" w:firstLineChars="200"/>
        <w:jc w:val="both"/>
        <w:textAlignment w:val="auto"/>
        <w:rPr>
          <w:rFonts w:hint="eastAsia" w:ascii="仿宋" w:hAnsi="仿宋" w:eastAsia="仿宋" w:cs="仿宋"/>
          <w:b/>
          <w:bCs/>
          <w:sz w:val="24"/>
          <w:szCs w:val="24"/>
        </w:rPr>
      </w:pPr>
      <w:bookmarkStart w:id="4" w:name="_Toc208416087"/>
      <w:r>
        <w:rPr>
          <w:rFonts w:hint="eastAsia" w:ascii="仿宋" w:hAnsi="仿宋" w:eastAsia="仿宋" w:cs="仿宋"/>
          <w:b/>
          <w:bCs/>
          <w:sz w:val="24"/>
          <w:szCs w:val="24"/>
        </w:rPr>
        <w:t>1.3.2 建设目标</w:t>
      </w:r>
      <w:bookmarkEnd w:id="4"/>
    </w:p>
    <w:p w14:paraId="550BDCAB">
      <w:pPr>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根据国家、省市医保局要求，结合医院建设实际情况，研究兄弟单位的先进建设经验，结合医院管理思想和自身特色，做好整体设计规划、合理布局、分布实施、阶段跟踪，打好硬件和网络基础适度超前，稳步实效地推进医院信息化建设，加强信息技术在医院的应用深度和广度，强调信息规范性、信息服务方便性、信息系统实用性、信息管理可及性，从而提升工作效率，提升决策分析能力，提高医保局与医院协作能力，提升患者医保报销的便利性。</w:t>
      </w:r>
    </w:p>
    <w:p w14:paraId="2E7E5EB4">
      <w:pPr>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最终，实现以下四大目标：</w:t>
      </w:r>
    </w:p>
    <w:p w14:paraId="6159736C">
      <w:pPr>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医疗协作：以信息化作为支撑手段，实现医院内部及医保局的医保信息的互联互通，整合优势医疗资源，以“管理输出、技术输出、人才培养、质量控制、多点执业、信息共享、双向转诊、协同医疗”为导向，实现“调动资源、整合资源、互惠互通”的长远目标。</w:t>
      </w:r>
    </w:p>
    <w:p w14:paraId="251AAE0B">
      <w:pPr>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2、流程再造：医院就诊的医保报销流程和诊疗服务模式采用互联智慧医疗，深化流程再造，落地院前、院中、院后医保报销的全流程优化协作服务。</w:t>
      </w:r>
    </w:p>
    <w:p w14:paraId="3782FB41">
      <w:pPr>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3、管理与监控可及：将医院自身医保监管管理诉求与管理原则，与医保管理部门的管理念相结合，并固化到信息系统当中，实施闭环管理监控，让管理与监控更可及。</w:t>
      </w:r>
    </w:p>
    <w:p w14:paraId="0F9B4747">
      <w:pPr>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4、提高患者医保报销效率与整体满意度：通过打通医保移动支付系统，医保智能监管系统，医保电子处方流转系统与医院内部相关系统的对接，极大方便患者的医保报销与购药等刚性需求，简化报销与购药流程，提高患者满意度。</w:t>
      </w:r>
    </w:p>
    <w:p w14:paraId="0A56619E">
      <w:pPr>
        <w:pStyle w:val="4"/>
        <w:kinsoku/>
        <w:wordWrap/>
        <w:overflowPunct/>
        <w:topLinePunct w:val="0"/>
        <w:autoSpaceDE/>
        <w:autoSpaceDN/>
        <w:bidi w:val="0"/>
        <w:adjustRightInd/>
        <w:snapToGrid/>
        <w:spacing w:before="0" w:beforeLines="0" w:after="0" w:afterLines="0" w:line="440" w:lineRule="exact"/>
        <w:ind w:firstLine="480" w:firstLineChars="200"/>
        <w:jc w:val="both"/>
        <w:textAlignment w:val="auto"/>
        <w:rPr>
          <w:rFonts w:hint="eastAsia" w:ascii="仿宋" w:hAnsi="仿宋" w:eastAsia="仿宋" w:cs="仿宋"/>
          <w:b/>
          <w:bCs/>
          <w:sz w:val="24"/>
          <w:szCs w:val="24"/>
          <w:lang w:eastAsia="zh-CN"/>
        </w:rPr>
      </w:pPr>
      <w:bookmarkStart w:id="5" w:name="_Toc208416088"/>
      <w:r>
        <w:rPr>
          <w:rFonts w:hint="eastAsia" w:ascii="仿宋" w:hAnsi="仿宋" w:eastAsia="仿宋" w:cs="仿宋"/>
          <w:b/>
          <w:bCs/>
          <w:sz w:val="24"/>
          <w:szCs w:val="24"/>
        </w:rPr>
        <w:t>1.3.3项目建设内容</w:t>
      </w:r>
      <w:bookmarkEnd w:id="5"/>
      <w:r>
        <w:rPr>
          <w:rFonts w:hint="eastAsia" w:ascii="仿宋" w:hAnsi="仿宋" w:eastAsia="仿宋" w:cs="仿宋"/>
          <w:b/>
          <w:bCs/>
          <w:sz w:val="24"/>
          <w:szCs w:val="24"/>
          <w:lang w:val="en-US" w:eastAsia="zh-CN"/>
        </w:rPr>
        <w:t>技术要求</w:t>
      </w:r>
    </w:p>
    <w:p w14:paraId="2415C736">
      <w:pPr>
        <w:pStyle w:val="40"/>
        <w:kinsoku/>
        <w:wordWrap/>
        <w:overflowPunct/>
        <w:topLinePunct w:val="0"/>
        <w:autoSpaceDE/>
        <w:autoSpaceDN/>
        <w:bidi w:val="0"/>
        <w:adjustRightInd/>
        <w:snapToGrid/>
        <w:spacing w:line="440" w:lineRule="exact"/>
        <w:ind w:firstLine="480" w:firstLineChars="200"/>
        <w:jc w:val="both"/>
        <w:textAlignment w:val="auto"/>
        <w:rPr>
          <w:rFonts w:hint="default" w:ascii="仿宋" w:hAnsi="仿宋" w:eastAsia="仿宋" w:cs="仿宋"/>
          <w:b/>
          <w:sz w:val="24"/>
          <w:szCs w:val="24"/>
          <w:lang w:val="en-US" w:eastAsia="zh-CN"/>
        </w:rPr>
      </w:pPr>
      <w:bookmarkStart w:id="6" w:name="_Toc451634280"/>
      <w:bookmarkStart w:id="7" w:name="_Toc451608828"/>
      <w:bookmarkStart w:id="8" w:name="_Toc451608634"/>
      <w:bookmarkStart w:id="9" w:name="_Toc37496401"/>
      <w:r>
        <w:rPr>
          <w:rFonts w:hint="eastAsia" w:ascii="仿宋" w:hAnsi="仿宋" w:eastAsia="仿宋" w:cs="仿宋"/>
          <w:b/>
          <w:sz w:val="24"/>
          <w:szCs w:val="24"/>
        </w:rPr>
        <w:t>第一：医保移动支付系统接口的</w:t>
      </w:r>
      <w:bookmarkEnd w:id="6"/>
      <w:bookmarkEnd w:id="7"/>
      <w:bookmarkEnd w:id="8"/>
      <w:bookmarkEnd w:id="9"/>
      <w:r>
        <w:rPr>
          <w:rFonts w:hint="eastAsia" w:ascii="仿宋" w:hAnsi="仿宋" w:eastAsia="仿宋" w:cs="仿宋"/>
          <w:b/>
          <w:sz w:val="24"/>
          <w:szCs w:val="24"/>
          <w:lang w:val="en-US" w:eastAsia="zh-CN"/>
        </w:rPr>
        <w:t>技术要求</w:t>
      </w:r>
    </w:p>
    <w:p w14:paraId="63768BB8">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bookmarkStart w:id="10" w:name="_Toc451608644"/>
      <w:bookmarkStart w:id="11" w:name="_Toc451634282"/>
      <w:bookmarkStart w:id="12" w:name="_Toc37496403"/>
      <w:bookmarkStart w:id="13" w:name="_Toc451608830"/>
      <w:r>
        <w:rPr>
          <w:rFonts w:hint="eastAsia" w:ascii="仿宋" w:hAnsi="仿宋" w:eastAsia="仿宋" w:cs="仿宋"/>
          <w:sz w:val="24"/>
          <w:szCs w:val="24"/>
        </w:rPr>
        <w:t>医保移动支付系统接口要求主要围绕技术规范、业务对接、安全管理等方面展开，具体可分为以下核心维度：</w:t>
      </w:r>
    </w:p>
    <w:p w14:paraId="6AE712A5">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一、技术规范</w:t>
      </w:r>
    </w:p>
    <w:p w14:paraId="264490D4">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‌接口标准符合性‌：必须符合《医疗保障信息平台便民服务相关技术规范》(GB/T 45938—2025)要求；需支持SM2签名算法和SM4加密算法，确保数据安全传输；接口地址需通过医保部门统一分配，采用HTTPS协议进行通信。</w:t>
      </w:r>
    </w:p>
    <w:p w14:paraId="45A262E7">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‌数据格式规范‌：需包含患者基本信息、诊断信息、药品明细等核心字段；药品信息需与医保药品目录编码对应，支持医保结算；需实现电子处方与纸质处方的双向转换，纸质处方保存期限不少于2年。</w:t>
      </w:r>
    </w:p>
    <w:p w14:paraId="535F3210">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rPr>
        <w:t>二、业务对接</w:t>
      </w:r>
      <w:r>
        <w:rPr>
          <w:rFonts w:hint="eastAsia" w:ascii="仿宋" w:hAnsi="仿宋" w:eastAsia="仿宋" w:cs="仿宋"/>
          <w:b/>
          <w:bCs/>
          <w:sz w:val="24"/>
          <w:szCs w:val="24"/>
          <w:lang w:val="en-US" w:eastAsia="zh-CN"/>
        </w:rPr>
        <w:t>要求</w:t>
      </w:r>
    </w:p>
    <w:p w14:paraId="5577DD0A">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‌接入流程规范‌：定点医药机构需通过“国家医保服务平台”提交接入申请；需完成接口改造并通过联调测试，提交系统改造全流程视频等验收材料；互联网医院接入需先完成对应实体医院的接入。</w:t>
      </w:r>
    </w:p>
    <w:p w14:paraId="0EE044B1">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‌支付功能要求‌：需支持挂号/诊间支付统一下单API接口、查询支付订单、支付结果通知接口；需实现申请退款、退款查询接口功能；需支持医保待遇结算和个人负担部分支付。</w:t>
      </w:r>
    </w:p>
    <w:p w14:paraId="6EEA8A8F">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rPr>
        <w:t>三、安全管理</w:t>
      </w:r>
      <w:r>
        <w:rPr>
          <w:rFonts w:hint="eastAsia" w:ascii="仿宋" w:hAnsi="仿宋" w:eastAsia="仿宋" w:cs="仿宋"/>
          <w:b/>
          <w:bCs/>
          <w:sz w:val="24"/>
          <w:szCs w:val="24"/>
          <w:lang w:val="en-US" w:eastAsia="zh-CN"/>
        </w:rPr>
        <w:t>要求</w:t>
      </w:r>
    </w:p>
    <w:p w14:paraId="4CD6265B">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‌身份认证要求‌：需实现医保电子凭证实名认证，确保支付真实性；需建立处方流转行为溯源机制，确保可追溯；需定期进行安全审计，确保系统持续符合安全要求。</w:t>
      </w:r>
    </w:p>
    <w:p w14:paraId="1E3F257D">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‌数据安全保护‌：电子处方包含的个人隐私信息需经患者授权才能共享；需建立异常交易监测机制，防范欺诈行为；需满足《信息安全技术个人信息安全规范》(GB/T 35273)要求。</w:t>
      </w:r>
    </w:p>
    <w:p w14:paraId="040D370F">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b/>
          <w:sz w:val="24"/>
          <w:szCs w:val="24"/>
        </w:rPr>
        <w:t>第二：医保智能监管系统接口的</w:t>
      </w:r>
      <w:bookmarkEnd w:id="10"/>
      <w:bookmarkEnd w:id="11"/>
      <w:bookmarkEnd w:id="12"/>
      <w:bookmarkEnd w:id="13"/>
      <w:r>
        <w:rPr>
          <w:rFonts w:hint="eastAsia" w:ascii="仿宋" w:hAnsi="仿宋" w:eastAsia="仿宋" w:cs="仿宋"/>
          <w:b/>
          <w:sz w:val="24"/>
          <w:szCs w:val="24"/>
          <w:lang w:val="en-US" w:eastAsia="zh-CN"/>
        </w:rPr>
        <w:t>技术要求</w:t>
      </w:r>
    </w:p>
    <w:p w14:paraId="521A505D">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医保智能监管系统接口的考核要求主要围绕技术规范、业务对接、安全管理和监管效果等方面展开，具体可分为以下核心考核维度：</w:t>
      </w:r>
    </w:p>
    <w:p w14:paraId="14DF6D2D">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rPr>
        <w:t>一、技术规范</w:t>
      </w:r>
      <w:r>
        <w:rPr>
          <w:rFonts w:hint="eastAsia" w:ascii="仿宋" w:hAnsi="仿宋" w:eastAsia="仿宋" w:cs="仿宋"/>
          <w:b/>
          <w:bCs/>
          <w:sz w:val="24"/>
          <w:szCs w:val="24"/>
          <w:lang w:val="en-US" w:eastAsia="zh-CN"/>
        </w:rPr>
        <w:t>要求</w:t>
      </w:r>
    </w:p>
    <w:p w14:paraId="7703B0EA">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‌接口标准符合性‌：必须符合《医疗保障信息平台接入规范》及马鞍山市医保部门实施细则；需支持WebService、HTTP/HTTPS等标准接口协议；要求采用SM2签名算法和SM4加密算法确保数据安全传输。</w:t>
      </w:r>
    </w:p>
    <w:p w14:paraId="39615E5D">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‌数据格式规范‌：需包含患者信息、诊疗项目、药品明细等核心字段；药品信息需与医保药品目录编码对应；要求支持XML/JSON等标准数据格式。</w:t>
      </w:r>
    </w:p>
    <w:p w14:paraId="2BE99D14">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二、业务对接</w:t>
      </w:r>
      <w:r>
        <w:rPr>
          <w:rFonts w:hint="eastAsia" w:ascii="仿宋" w:hAnsi="仿宋" w:eastAsia="仿宋" w:cs="仿宋"/>
          <w:b/>
          <w:bCs/>
          <w:sz w:val="24"/>
          <w:szCs w:val="24"/>
          <w:lang w:val="en-US" w:eastAsia="zh-CN"/>
        </w:rPr>
        <w:t>要求</w:t>
      </w:r>
    </w:p>
    <w:p w14:paraId="4D6C2D06">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‌接入模式要求‌：直接对接模式，需具备实时结算能力；需支持异常处理机制，包括本地缓存和错误日志生成。</w:t>
      </w:r>
    </w:p>
    <w:p w14:paraId="0C56270F">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‌核心业务流程‌：实时结算：诊疗时实时传输数据并计算报销金额；数据上传：诊疗结束后按要求上传费用明细等数据；智能审核：需支持事前预警、事中监控和事后追溯</w:t>
      </w:r>
    </w:p>
    <w:p w14:paraId="3EFDA4A8">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三、安全管理</w:t>
      </w:r>
      <w:r>
        <w:rPr>
          <w:rFonts w:hint="eastAsia" w:ascii="仿宋" w:hAnsi="仿宋" w:eastAsia="仿宋" w:cs="仿宋"/>
          <w:b/>
          <w:bCs/>
          <w:sz w:val="24"/>
          <w:szCs w:val="24"/>
          <w:lang w:val="en-US" w:eastAsia="zh-CN"/>
        </w:rPr>
        <w:t>要求</w:t>
      </w:r>
    </w:p>
    <w:p w14:paraId="1BC5E292">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‌数据安全要求‌：传输过程需采用SSL加密协议；敏感信息需脱敏处理；需建立数据备份机制防止信息丢失。</w:t>
      </w:r>
    </w:p>
    <w:p w14:paraId="5F6237FF">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‌系统运维要求‌：需定期进行联调测试适配政策更新；需建立操作员权限验证机制。</w:t>
      </w:r>
    </w:p>
    <w:p w14:paraId="0F313763">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rPr>
        <w:t>四、监管效果</w:t>
      </w:r>
      <w:r>
        <w:rPr>
          <w:rFonts w:hint="eastAsia" w:ascii="仿宋" w:hAnsi="仿宋" w:eastAsia="仿宋" w:cs="仿宋"/>
          <w:b/>
          <w:bCs/>
          <w:sz w:val="24"/>
          <w:szCs w:val="24"/>
          <w:lang w:val="en-US" w:eastAsia="zh-CN"/>
        </w:rPr>
        <w:t>要求</w:t>
      </w:r>
    </w:p>
    <w:p w14:paraId="2A5AAA14">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‌违规识别能力‌：需支持药品进销存异常监管；要求可疑违规行为识别准确率≥90%</w:t>
      </w:r>
    </w:p>
    <w:p w14:paraId="3C387F61">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‌基金追回效果‌：需建立线上初审、复核、申诉全流程管理机制；应实现违规费用追溯和追回。</w:t>
      </w:r>
    </w:p>
    <w:p w14:paraId="5BB56946">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sz w:val="24"/>
          <w:szCs w:val="24"/>
          <w:lang w:eastAsia="zh-CN"/>
        </w:rPr>
      </w:pPr>
      <w:bookmarkStart w:id="14" w:name="_Toc451608831"/>
      <w:bookmarkStart w:id="15" w:name="_Toc37496404"/>
      <w:bookmarkStart w:id="16" w:name="_Toc451608649"/>
      <w:bookmarkStart w:id="17" w:name="_Toc451634283"/>
      <w:r>
        <w:rPr>
          <w:rFonts w:hint="eastAsia" w:ascii="仿宋" w:hAnsi="仿宋" w:eastAsia="仿宋" w:cs="仿宋"/>
          <w:b/>
          <w:sz w:val="24"/>
          <w:szCs w:val="24"/>
        </w:rPr>
        <w:t>第三：医保电子处方流转系统接口的</w:t>
      </w:r>
      <w:bookmarkEnd w:id="14"/>
      <w:bookmarkEnd w:id="15"/>
      <w:bookmarkEnd w:id="16"/>
      <w:bookmarkEnd w:id="17"/>
      <w:r>
        <w:rPr>
          <w:rFonts w:hint="eastAsia" w:ascii="仿宋" w:hAnsi="仿宋" w:eastAsia="仿宋" w:cs="仿宋"/>
          <w:b/>
          <w:sz w:val="24"/>
          <w:szCs w:val="24"/>
          <w:lang w:val="en-US" w:eastAsia="zh-CN"/>
        </w:rPr>
        <w:t>技术要求</w:t>
      </w:r>
    </w:p>
    <w:p w14:paraId="06B0760D">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医保电子处方流转系统接口的考核要求主要围绕技术规范、业务对接、安全管理和实施效果等方面展开，具体可分为以下核心考核维度：</w:t>
      </w:r>
    </w:p>
    <w:p w14:paraId="0BEEAC65">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一、技术规范</w:t>
      </w:r>
      <w:r>
        <w:rPr>
          <w:rFonts w:hint="eastAsia" w:ascii="仿宋" w:hAnsi="仿宋" w:eastAsia="仿宋" w:cs="仿宋"/>
          <w:b/>
          <w:bCs/>
          <w:sz w:val="24"/>
          <w:szCs w:val="24"/>
          <w:lang w:val="en-US" w:eastAsia="zh-CN"/>
        </w:rPr>
        <w:t>要求</w:t>
      </w:r>
    </w:p>
    <w:p w14:paraId="2D5248E0">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‌接口标准符合性‌：必须符合《医疗保障信息平台电子处方中心接口规范(2022版)》要求；需支持SM2签名算法和SM4加密算法，确保数据安全传输；接口地址需通过医保部门统一分配，采用HTTPS协议进行通信。</w:t>
      </w:r>
    </w:p>
    <w:p w14:paraId="7412B448">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数据格式规范‌：电子处方数据需包含患者基本信息、诊断信息、药品明细等核心字段；药品信息需与医保药品目录编码对应，支持医保结算；需实现电子处方与纸质处方的双向转换，纸质处方保存期限不少于2年。</w:t>
      </w:r>
    </w:p>
    <w:p w14:paraId="35FAD24E">
      <w:pPr>
        <w:pStyle w:val="40"/>
        <w:numPr>
          <w:ilvl w:val="0"/>
          <w:numId w:val="1"/>
        </w:numPr>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业务对接</w:t>
      </w:r>
      <w:r>
        <w:rPr>
          <w:rFonts w:hint="eastAsia" w:ascii="仿宋" w:hAnsi="仿宋" w:eastAsia="仿宋" w:cs="仿宋"/>
          <w:b/>
          <w:bCs/>
          <w:sz w:val="24"/>
          <w:szCs w:val="24"/>
          <w:lang w:val="en-US" w:eastAsia="zh-CN"/>
        </w:rPr>
        <w:t>要求</w:t>
      </w:r>
    </w:p>
    <w:p w14:paraId="2E246561">
      <w:pPr>
        <w:pStyle w:val="4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b w:val="0"/>
          <w:bCs w:val="0"/>
          <w:sz w:val="24"/>
          <w:szCs w:val="24"/>
        </w:rPr>
        <w:t>‌接入流程规范‌：需完成接</w:t>
      </w:r>
      <w:r>
        <w:rPr>
          <w:rFonts w:hint="eastAsia" w:ascii="仿宋" w:hAnsi="仿宋" w:eastAsia="仿宋" w:cs="仿宋"/>
          <w:sz w:val="24"/>
          <w:szCs w:val="24"/>
        </w:rPr>
        <w:t>口改造并通过联调测试，提交系统改造全流程视频等验收材料；互联网医院接入需先完成对应实体医院的接入。</w:t>
      </w:r>
    </w:p>
    <w:p w14:paraId="2E024FA6">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‌处方流转范围‌：原则上只接受本统筹区内医疗机构开具的处方；麻醉药品、放射性药品等特殊药品不得纳入电子处方流转范围；2025年1月1日起双通道药店只能开具电子处方，不再接受纸质处方。</w:t>
      </w:r>
    </w:p>
    <w:p w14:paraId="1AE18D3D">
      <w:pPr>
        <w:pStyle w:val="40"/>
        <w:numPr>
          <w:ilvl w:val="0"/>
          <w:numId w:val="1"/>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rPr>
        <w:t>安全管理</w:t>
      </w:r>
      <w:r>
        <w:rPr>
          <w:rFonts w:hint="eastAsia" w:ascii="仿宋" w:hAnsi="仿宋" w:eastAsia="仿宋" w:cs="仿宋"/>
          <w:b/>
          <w:bCs/>
          <w:sz w:val="24"/>
          <w:szCs w:val="24"/>
          <w:lang w:val="en-US" w:eastAsia="zh-CN"/>
        </w:rPr>
        <w:t>要求</w:t>
      </w:r>
    </w:p>
    <w:p w14:paraId="741A2E64">
      <w:pPr>
        <w:pStyle w:val="40"/>
        <w:numPr>
          <w:ilvl w:val="0"/>
          <w:numId w:val="0"/>
        </w:numPr>
        <w:kinsoku/>
        <w:wordWrap/>
        <w:overflowPunct/>
        <w:topLinePunct w:val="0"/>
        <w:autoSpaceDE/>
        <w:autoSpaceDN/>
        <w:bidi w:val="0"/>
        <w:adjustRightInd/>
        <w:snapToGrid/>
        <w:spacing w:line="440" w:lineRule="exact"/>
        <w:ind w:leftChars="20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‌身份认证要求‌：需实现医保电子凭证实名认证，确保处方开具和流转的真实性；互联网医院需通过国家医保服务平台单位网厅申请接入密钥；需建立处方流转行为溯源机制，确保可追溯。</w:t>
      </w:r>
    </w:p>
    <w:p w14:paraId="4BE4185F">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‌数据安全保护‌：电子处方包含的个人隐私信息需经患者授权才能共享；需建立异常交易监测机制，防范欺诈行为；需定期进行安全审计，确保系统持续符合安全要求。</w:t>
      </w:r>
    </w:p>
    <w:p w14:paraId="7A0BBFBC">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rPr>
        <w:t>四、实施效果</w:t>
      </w:r>
      <w:r>
        <w:rPr>
          <w:rFonts w:hint="eastAsia" w:ascii="仿宋" w:hAnsi="仿宋" w:eastAsia="仿宋" w:cs="仿宋"/>
          <w:b/>
          <w:bCs/>
          <w:sz w:val="24"/>
          <w:szCs w:val="24"/>
          <w:lang w:val="en-US" w:eastAsia="zh-CN"/>
        </w:rPr>
        <w:t>要求</w:t>
      </w:r>
    </w:p>
    <w:p w14:paraId="634EB0C2">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‌使用效果评估‌：需实现电子处方与医保结算系统的无缝对接；需支持线上审方和合理用药监测功能；需建立智能统计分析功能，实现处方流转线上监管；接入情况和使用情况将纳入定点医药机构年度考核。</w:t>
      </w:r>
    </w:p>
    <w:p w14:paraId="3C8DDED6">
      <w:pPr>
        <w:pStyle w:val="4"/>
        <w:kinsoku/>
        <w:wordWrap/>
        <w:overflowPunct/>
        <w:topLinePunct w:val="0"/>
        <w:autoSpaceDE/>
        <w:autoSpaceDN/>
        <w:bidi w:val="0"/>
        <w:adjustRightInd/>
        <w:snapToGrid/>
        <w:spacing w:before="0" w:beforeLines="0" w:after="0" w:afterLines="0" w:line="440" w:lineRule="exact"/>
        <w:ind w:firstLine="480" w:firstLineChars="200"/>
        <w:jc w:val="both"/>
        <w:textAlignment w:val="auto"/>
        <w:rPr>
          <w:rFonts w:hint="eastAsia" w:ascii="仿宋" w:hAnsi="仿宋" w:eastAsia="仿宋" w:cs="仿宋"/>
          <w:b/>
          <w:bCs/>
          <w:sz w:val="24"/>
          <w:szCs w:val="24"/>
        </w:rPr>
      </w:pPr>
      <w:bookmarkStart w:id="18" w:name="_Toc208416089"/>
      <w:r>
        <w:rPr>
          <w:rFonts w:hint="eastAsia" w:ascii="仿宋" w:hAnsi="仿宋" w:eastAsia="仿宋" w:cs="仿宋"/>
          <w:b/>
          <w:bCs/>
          <w:sz w:val="24"/>
          <w:szCs w:val="24"/>
        </w:rPr>
        <w:t>1.3.4项目建设的意义和必要性</w:t>
      </w:r>
      <w:bookmarkEnd w:id="18"/>
    </w:p>
    <w:p w14:paraId="79CAF843">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bookmarkStart w:id="19" w:name="_Toc477422722"/>
      <w:bookmarkStart w:id="20" w:name="_Toc477428402"/>
      <w:bookmarkStart w:id="21" w:name="_Toc457648812"/>
      <w:bookmarkStart w:id="22" w:name="_Toc121724914"/>
      <w:r>
        <w:rPr>
          <w:rFonts w:hint="eastAsia" w:ascii="仿宋" w:hAnsi="仿宋" w:eastAsia="仿宋" w:cs="仿宋"/>
          <w:sz w:val="24"/>
          <w:szCs w:val="24"/>
        </w:rPr>
        <w:t>第一：</w:t>
      </w:r>
      <w:bookmarkEnd w:id="19"/>
      <w:bookmarkEnd w:id="20"/>
      <w:bookmarkEnd w:id="21"/>
      <w:bookmarkEnd w:id="22"/>
      <w:bookmarkStart w:id="23" w:name="_Toc121724915"/>
      <w:bookmarkStart w:id="24" w:name="_Toc477428403"/>
      <w:bookmarkStart w:id="25" w:name="_Toc457648813"/>
      <w:bookmarkStart w:id="26" w:name="_Toc477422723"/>
      <w:r>
        <w:rPr>
          <w:rFonts w:hint="eastAsia" w:ascii="仿宋" w:hAnsi="仿宋" w:eastAsia="仿宋" w:cs="仿宋"/>
          <w:sz w:val="24"/>
          <w:szCs w:val="24"/>
        </w:rPr>
        <w:t>医保移动支付系统建设的必要性主要体现在提升就医效率、优化医疗资源分配、推动智慧医院建设等方面：</w:t>
      </w:r>
    </w:p>
    <w:p w14:paraId="243B835D">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提升就医效率</w:t>
      </w:r>
    </w:p>
    <w:p w14:paraId="53DEA662">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传统就医流程中，患者需多次切换医保码与付款码，耗时约1-2分钟。医保移动支付系统通过“一码付”功能，刷脸或出示医保码即可同步完成身份认证、医保结算及自费支付，最快15秒完成，效率提升超80%。 ‌</w:t>
      </w:r>
    </w:p>
    <w:p w14:paraId="586FB8EE">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优化医疗资源分配</w:t>
      </w:r>
    </w:p>
    <w:p w14:paraId="1EFAF238">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窗口排队压力显著减轻，人工审核环节减少，医疗资源分配更合理。例如，云南省通过移动支付覆盖全省主要定点医疗机构，彻底告别“排队缴费”和“垫付全款”的时代。 ‌</w:t>
      </w:r>
    </w:p>
    <w:p w14:paraId="4B5F4ABE">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推动智慧医院建设</w:t>
      </w:r>
    </w:p>
    <w:p w14:paraId="53915BAF">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系统支持处方流转、线上购药等功能，如慢性病患者可通过互联网医院续方后直接配送到家，减少往返医院次数。同时，刷脸支付功能支持老年人等特殊群体无感支付，实现全年龄段覆盖。 ‌</w:t>
      </w:r>
    </w:p>
    <w:p w14:paraId="48C78345">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第二：</w:t>
      </w:r>
      <w:bookmarkEnd w:id="23"/>
      <w:bookmarkEnd w:id="24"/>
      <w:bookmarkEnd w:id="25"/>
      <w:bookmarkEnd w:id="26"/>
      <w:r>
        <w:rPr>
          <w:rFonts w:hint="eastAsia" w:ascii="仿宋" w:hAnsi="仿宋" w:eastAsia="仿宋" w:cs="仿宋"/>
          <w:sz w:val="24"/>
          <w:szCs w:val="24"/>
        </w:rPr>
        <w:t xml:space="preserve"> </w:t>
      </w:r>
      <w:bookmarkStart w:id="27" w:name="_Toc477422726"/>
      <w:bookmarkStart w:id="28" w:name="_Toc457648817"/>
      <w:bookmarkStart w:id="29" w:name="_Toc477428406"/>
      <w:bookmarkStart w:id="30" w:name="_Toc121724917"/>
      <w:r>
        <w:rPr>
          <w:rFonts w:hint="eastAsia" w:ascii="仿宋" w:hAnsi="仿宋" w:eastAsia="仿宋" w:cs="仿宋"/>
          <w:sz w:val="24"/>
          <w:szCs w:val="24"/>
        </w:rPr>
        <w:t>医保智能监管系统是利用人工智能、大数据等技术对医保基金使用进行全流程监控的数字化监管体系。随着医保基金规模扩大和监管难度增加，建设智能监管系统已成为保障医保基金安全、提升监管效能的必然选择。主要体现在以下几个方面：</w:t>
      </w:r>
    </w:p>
    <w:p w14:paraId="6735EA1D">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b/>
          <w:bCs/>
          <w:sz w:val="24"/>
          <w:szCs w:val="24"/>
        </w:rPr>
        <w:t>保障基金安全</w:t>
      </w:r>
      <w:r>
        <w:rPr>
          <w:rFonts w:hint="eastAsia" w:ascii="仿宋" w:hAnsi="仿宋" w:eastAsia="仿宋" w:cs="仿宋"/>
          <w:sz w:val="24"/>
          <w:szCs w:val="24"/>
        </w:rPr>
        <w:t>‌：有效识别和拦截虚假报销、重复报销等违规行为，防止基金流失。</w:t>
      </w:r>
    </w:p>
    <w:p w14:paraId="6F59F5EF">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b/>
          <w:bCs/>
          <w:sz w:val="24"/>
          <w:szCs w:val="24"/>
        </w:rPr>
        <w:t>提升监管效能</w:t>
      </w:r>
      <w:r>
        <w:rPr>
          <w:rFonts w:hint="eastAsia" w:ascii="仿宋" w:hAnsi="仿宋" w:eastAsia="仿宋" w:cs="仿宋"/>
          <w:sz w:val="24"/>
          <w:szCs w:val="24"/>
        </w:rPr>
        <w:t>‌：解决传统监管方式人力成本高、响应滞后的问题，实现全覆盖监管。</w:t>
      </w:r>
    </w:p>
    <w:p w14:paraId="01A46138">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b/>
          <w:bCs/>
          <w:sz w:val="24"/>
          <w:szCs w:val="24"/>
        </w:rPr>
        <w:t>适应技术发展</w:t>
      </w:r>
      <w:r>
        <w:rPr>
          <w:rFonts w:hint="eastAsia" w:ascii="仿宋" w:hAnsi="仿宋" w:eastAsia="仿宋" w:cs="仿宋"/>
          <w:sz w:val="24"/>
          <w:szCs w:val="24"/>
        </w:rPr>
        <w:t>‌：应对专业化、智能化的新型骗保手段，保持监管技术优势。</w:t>
      </w:r>
    </w:p>
    <w:p w14:paraId="1F428F06">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b/>
          <w:bCs/>
          <w:sz w:val="24"/>
          <w:szCs w:val="24"/>
        </w:rPr>
        <w:t>落实政策要求</w:t>
      </w:r>
      <w:r>
        <w:rPr>
          <w:rFonts w:hint="eastAsia" w:ascii="仿宋" w:hAnsi="仿宋" w:eastAsia="仿宋" w:cs="仿宋"/>
          <w:sz w:val="24"/>
          <w:szCs w:val="24"/>
        </w:rPr>
        <w:t>‌：响应国家医保局关于构建"智慧医保"体系的政策导向。</w:t>
      </w:r>
    </w:p>
    <w:p w14:paraId="118EBCB5">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b/>
          <w:bCs/>
          <w:sz w:val="24"/>
          <w:szCs w:val="24"/>
        </w:rPr>
        <w:t>促进医疗改革</w:t>
      </w:r>
      <w:r>
        <w:rPr>
          <w:rFonts w:hint="eastAsia" w:ascii="仿宋" w:hAnsi="仿宋" w:eastAsia="仿宋" w:cs="仿宋"/>
          <w:sz w:val="24"/>
          <w:szCs w:val="24"/>
        </w:rPr>
        <w:t>‌：为DRG/DIP支付方式改革等医保改革提供技术支撑。</w:t>
      </w:r>
    </w:p>
    <w:p w14:paraId="7EC1E598">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b/>
          <w:bCs/>
          <w:sz w:val="24"/>
          <w:szCs w:val="24"/>
        </w:rPr>
        <w:t>优化服务体验</w:t>
      </w:r>
      <w:r>
        <w:rPr>
          <w:rFonts w:hint="eastAsia" w:ascii="仿宋" w:hAnsi="仿宋" w:eastAsia="仿宋" w:cs="仿宋"/>
          <w:sz w:val="24"/>
          <w:szCs w:val="24"/>
        </w:rPr>
        <w:t>‌：通过智能审核缩短结算时间，提升参保人服务体验。</w:t>
      </w:r>
    </w:p>
    <w:p w14:paraId="3BA98514">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医保智能监管系统建设已成为医保治理现代化的重要抓手，其实施不仅能够有效解决当前监管面临的诸多挑战，还将为医保制度的可持续发展提供坚实保障。</w:t>
      </w:r>
    </w:p>
    <w:p w14:paraId="3116BF9A">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第三：</w:t>
      </w:r>
      <w:bookmarkEnd w:id="27"/>
      <w:bookmarkEnd w:id="28"/>
      <w:bookmarkEnd w:id="29"/>
      <w:bookmarkEnd w:id="30"/>
      <w:r>
        <w:rPr>
          <w:rFonts w:hint="eastAsia" w:ascii="仿宋" w:hAnsi="仿宋" w:eastAsia="仿宋" w:cs="仿宋"/>
          <w:sz w:val="24"/>
          <w:szCs w:val="24"/>
        </w:rPr>
        <w:t>医保电子处方流转系统是指通过数字化平台将医疗机构开具的电子处方安全、高效地流转至定点零售药店，实现处方外配、医保结算全流程线上化的信息系统。</w:t>
      </w:r>
    </w:p>
    <w:p w14:paraId="7EFC5A17">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随着医保治理现代化进程加速，建设电子处方流转系统已成为提升医保服务效能、保障基金安全的重要举措。具体现在以下几个方面</w:t>
      </w:r>
    </w:p>
    <w:p w14:paraId="6DF7923E">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b/>
          <w:bCs/>
          <w:sz w:val="24"/>
          <w:szCs w:val="24"/>
        </w:rPr>
        <w:t>保障基金安全</w:t>
      </w:r>
      <w:r>
        <w:rPr>
          <w:rFonts w:hint="eastAsia" w:ascii="仿宋" w:hAnsi="仿宋" w:eastAsia="仿宋" w:cs="仿宋"/>
          <w:sz w:val="24"/>
          <w:szCs w:val="24"/>
        </w:rPr>
        <w:t>‌：通过全流程电子留痕和智能审核，有效防范虚假处方、超量开药等骗保行为。</w:t>
      </w:r>
    </w:p>
    <w:p w14:paraId="2C039B10">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b/>
          <w:bCs/>
          <w:sz w:val="24"/>
          <w:szCs w:val="24"/>
        </w:rPr>
        <w:t>提升服务效能</w:t>
      </w:r>
      <w:r>
        <w:rPr>
          <w:rFonts w:hint="eastAsia" w:ascii="仿宋" w:hAnsi="仿宋" w:eastAsia="仿宋" w:cs="仿宋"/>
          <w:sz w:val="24"/>
          <w:szCs w:val="24"/>
        </w:rPr>
        <w:t>‌：使患者取药时间平均缩短60%以上，特别惠及慢性病和偏远地区群众。</w:t>
      </w:r>
    </w:p>
    <w:p w14:paraId="57F0E95A">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b/>
          <w:bCs/>
          <w:sz w:val="24"/>
          <w:szCs w:val="24"/>
        </w:rPr>
        <w:t>落实政策要求</w:t>
      </w:r>
      <w:r>
        <w:rPr>
          <w:rFonts w:hint="eastAsia" w:ascii="仿宋" w:hAnsi="仿宋" w:eastAsia="仿宋" w:cs="仿宋"/>
          <w:sz w:val="24"/>
          <w:szCs w:val="24"/>
        </w:rPr>
        <w:t>‌：响应国家医保局关于构建"智慧医保"体系的部署，2025年实现电子处方中心全覆盖。</w:t>
      </w:r>
    </w:p>
    <w:p w14:paraId="40A2A3B0">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b/>
          <w:bCs/>
          <w:sz w:val="24"/>
          <w:szCs w:val="24"/>
        </w:rPr>
        <w:t>促进医疗改革</w:t>
      </w:r>
      <w:r>
        <w:rPr>
          <w:rFonts w:hint="eastAsia" w:ascii="仿宋" w:hAnsi="仿宋" w:eastAsia="仿宋" w:cs="仿宋"/>
          <w:sz w:val="24"/>
          <w:szCs w:val="24"/>
        </w:rPr>
        <w:t>‌：为DRG/DIP支付方式改革提供数据支撑，推动合理用药。</w:t>
      </w:r>
    </w:p>
    <w:p w14:paraId="28D60D3F">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b/>
          <w:bCs/>
          <w:sz w:val="24"/>
          <w:szCs w:val="24"/>
        </w:rPr>
        <w:t>优化资源配置</w:t>
      </w:r>
      <w:r>
        <w:rPr>
          <w:rFonts w:hint="eastAsia" w:ascii="仿宋" w:hAnsi="仿宋" w:eastAsia="仿宋" w:cs="仿宋"/>
          <w:sz w:val="24"/>
          <w:szCs w:val="24"/>
        </w:rPr>
        <w:t>‌：通过处方数据共享，减少药品库存浪费，提升医疗机构与药店协同效率。</w:t>
      </w:r>
    </w:p>
    <w:p w14:paraId="0273876E">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b/>
          <w:bCs/>
          <w:sz w:val="24"/>
          <w:szCs w:val="24"/>
        </w:rPr>
        <w:t>推动数字化转型</w:t>
      </w:r>
      <w:r>
        <w:rPr>
          <w:rFonts w:hint="eastAsia" w:ascii="仿宋" w:hAnsi="仿宋" w:eastAsia="仿宋" w:cs="仿宋"/>
          <w:sz w:val="24"/>
          <w:szCs w:val="24"/>
        </w:rPr>
        <w:t>‌：加速医疗健康信息互联互通，为"互联网+医疗健康"发展奠定基础。</w:t>
      </w:r>
    </w:p>
    <w:p w14:paraId="3A122047">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医保电子处方流转系统建设是提升医保治理能力现代化的重要抓手，其实施将显著改善群众就医体验，同时为医保基金安全提供技术保障，具有显著的社会效益和经济效益。</w:t>
      </w:r>
    </w:p>
    <w:p w14:paraId="30FD7E86">
      <w:pPr>
        <w:pStyle w:val="4"/>
        <w:kinsoku/>
        <w:wordWrap/>
        <w:overflowPunct/>
        <w:topLinePunct w:val="0"/>
        <w:autoSpaceDE/>
        <w:autoSpaceDN/>
        <w:bidi w:val="0"/>
        <w:adjustRightInd/>
        <w:snapToGrid/>
        <w:spacing w:before="0" w:beforeLines="0" w:after="0" w:afterLines="0" w:line="440" w:lineRule="exact"/>
        <w:ind w:firstLine="480" w:firstLineChars="200"/>
        <w:jc w:val="both"/>
        <w:textAlignment w:val="auto"/>
        <w:rPr>
          <w:rFonts w:hint="eastAsia" w:ascii="仿宋" w:hAnsi="仿宋" w:eastAsia="仿宋" w:cs="仿宋"/>
          <w:b/>
          <w:bCs/>
          <w:sz w:val="24"/>
          <w:szCs w:val="24"/>
        </w:rPr>
      </w:pPr>
      <w:bookmarkStart w:id="31" w:name="_Toc208416090"/>
      <w:r>
        <w:rPr>
          <w:rFonts w:hint="eastAsia" w:ascii="仿宋" w:hAnsi="仿宋" w:eastAsia="仿宋" w:cs="仿宋"/>
          <w:b/>
          <w:bCs/>
          <w:sz w:val="24"/>
          <w:szCs w:val="24"/>
        </w:rPr>
        <w:t>1.3.5 部门业务需求说明</w:t>
      </w:r>
      <w:bookmarkEnd w:id="31"/>
    </w:p>
    <w:p w14:paraId="043BC331">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sz w:val="24"/>
          <w:szCs w:val="24"/>
        </w:rPr>
      </w:pPr>
      <w:bookmarkStart w:id="32" w:name="_Toc451608618"/>
      <w:bookmarkStart w:id="33" w:name="_Toc382903247"/>
      <w:bookmarkStart w:id="34" w:name="_Toc445917460"/>
      <w:bookmarkStart w:id="35" w:name="_Toc382903945"/>
      <w:bookmarkStart w:id="36" w:name="_Toc382904578"/>
      <w:bookmarkStart w:id="37" w:name="_Toc451608609"/>
      <w:r>
        <w:rPr>
          <w:rFonts w:hint="eastAsia" w:ascii="仿宋" w:hAnsi="仿宋" w:eastAsia="仿宋" w:cs="仿宋"/>
          <w:b/>
          <w:sz w:val="24"/>
          <w:szCs w:val="24"/>
        </w:rPr>
        <w:t>第一：</w:t>
      </w:r>
      <w:bookmarkEnd w:id="32"/>
      <w:bookmarkEnd w:id="33"/>
      <w:bookmarkEnd w:id="34"/>
      <w:bookmarkEnd w:id="35"/>
      <w:bookmarkEnd w:id="36"/>
      <w:r>
        <w:rPr>
          <w:rFonts w:hint="eastAsia" w:ascii="仿宋" w:hAnsi="仿宋" w:eastAsia="仿宋" w:cs="仿宋"/>
          <w:b/>
          <w:sz w:val="24"/>
          <w:szCs w:val="24"/>
        </w:rPr>
        <w:t>医保移动支付系统对接的业务需求</w:t>
      </w:r>
    </w:p>
    <w:p w14:paraId="61D8791E">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医保移动支付系统是“互联网+医保”服务的重要组成部分，其需求点主要来源于政策要求、行业痛点以及各相关方的实际需求。以下从多个维度详细分析医保移动支付系统的核心需求点：</w:t>
      </w:r>
    </w:p>
    <w:p w14:paraId="3FF662E5">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政策与监管需求</w:t>
      </w:r>
    </w:p>
    <w:p w14:paraId="16F4E104">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b/>
          <w:bCs/>
          <w:sz w:val="24"/>
          <w:szCs w:val="24"/>
        </w:rPr>
        <w:t>国家医保信息化战略要求</w:t>
      </w:r>
      <w:r>
        <w:rPr>
          <w:rFonts w:hint="eastAsia" w:ascii="仿宋" w:hAnsi="仿宋" w:eastAsia="仿宋" w:cs="仿宋"/>
          <w:sz w:val="24"/>
          <w:szCs w:val="24"/>
        </w:rPr>
        <w:t>‌：国家医保局推动医保移动支付作为"互联网+医保"的重要部分，要求各地加快推广，实现医保结算线上化。2023年发布的《关于进一步深入推进医疗保障基金智能审核和监控工作的通知》明确提出要扩展在线支付能力。</w:t>
      </w:r>
    </w:p>
    <w:p w14:paraId="256A4ACD">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b/>
          <w:bCs/>
          <w:sz w:val="24"/>
          <w:szCs w:val="24"/>
        </w:rPr>
        <w:t>医保基金安全监管</w:t>
      </w:r>
      <w:r>
        <w:rPr>
          <w:rFonts w:hint="eastAsia" w:ascii="仿宋" w:hAnsi="仿宋" w:eastAsia="仿宋" w:cs="仿宋"/>
          <w:sz w:val="24"/>
          <w:szCs w:val="24"/>
        </w:rPr>
        <w:t>‌：系统需具备实时监控和追溯功能，防止欺诈骗保行为。通过电子支付实现全程留痕，确保医保基金使用规范透明。</w:t>
      </w:r>
    </w:p>
    <w:p w14:paraId="6598ED54">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b/>
          <w:bCs/>
          <w:sz w:val="24"/>
          <w:szCs w:val="24"/>
        </w:rPr>
        <w:t>全国统一标准建设</w:t>
      </w:r>
      <w:r>
        <w:rPr>
          <w:rFonts w:hint="eastAsia" w:ascii="仿宋" w:hAnsi="仿宋" w:eastAsia="仿宋" w:cs="仿宋"/>
          <w:sz w:val="24"/>
          <w:szCs w:val="24"/>
        </w:rPr>
        <w:t>‌：《医疗保障信息平台 便民服务相关技术规范》国家标准规定了医保移动支付的技术要求，确保全国范围内系统互联互通。</w:t>
      </w:r>
    </w:p>
    <w:p w14:paraId="67609A85">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主要功能点需求</w:t>
      </w:r>
    </w:p>
    <w:p w14:paraId="4F61A213">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便捷支付功能‌需求：</w:t>
      </w:r>
      <w:r>
        <w:rPr>
          <w:rFonts w:hint="eastAsia" w:ascii="仿宋" w:hAnsi="仿宋" w:eastAsia="仿宋" w:cs="仿宋"/>
          <w:sz w:val="24"/>
          <w:szCs w:val="24"/>
        </w:rPr>
        <w:t>支持医保码(医保电子凭证)支付；实现医保统筹、个人账户和个人自费的一键结算；支持刷脸支付等无感支付方式，方便老年群体使用。</w:t>
      </w:r>
    </w:p>
    <w:p w14:paraId="30E55EA0">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家庭共济功能‌需求：</w:t>
      </w:r>
      <w:r>
        <w:rPr>
          <w:rFonts w:hint="eastAsia" w:ascii="仿宋" w:hAnsi="仿宋" w:eastAsia="仿宋" w:cs="仿宋"/>
          <w:sz w:val="24"/>
          <w:szCs w:val="24"/>
        </w:rPr>
        <w:t>支持医保个人账户资金跨省转账给近亲属使用；实现“一人账户，全家可用”的共济支付模式5</w:t>
      </w:r>
    </w:p>
    <w:p w14:paraId="237CA9CA">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b/>
          <w:bCs/>
          <w:sz w:val="24"/>
          <w:szCs w:val="24"/>
        </w:rPr>
        <w:t>费用透明展示需求</w:t>
      </w:r>
      <w:r>
        <w:rPr>
          <w:rFonts w:hint="eastAsia" w:ascii="仿宋" w:hAnsi="仿宋" w:eastAsia="仿宋" w:cs="仿宋"/>
          <w:sz w:val="24"/>
          <w:szCs w:val="24"/>
        </w:rPr>
        <w:t>‌：清晰显示费用分解明细，如医保基金支付、个人账户支付等；提供完整的支付记录查询功能。</w:t>
      </w:r>
    </w:p>
    <w:p w14:paraId="0C7DE616">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各相关方核心需求</w:t>
      </w:r>
    </w:p>
    <w:tbl>
      <w:tblPr>
        <w:tblStyle w:val="17"/>
        <w:tblW w:w="8103" w:type="dxa"/>
        <w:tblCellSpacing w:w="15" w:type="dxa"/>
        <w:tblInd w:w="293" w:type="dxa"/>
        <w:shd w:val="clear" w:color="auto" w:fill="FFFFFF"/>
        <w:tblLayout w:type="fixed"/>
        <w:tblCellMar>
          <w:top w:w="0" w:type="dxa"/>
          <w:left w:w="0" w:type="dxa"/>
          <w:bottom w:w="0" w:type="dxa"/>
          <w:right w:w="0" w:type="dxa"/>
        </w:tblCellMar>
      </w:tblPr>
      <w:tblGrid>
        <w:gridCol w:w="1672"/>
        <w:gridCol w:w="2723"/>
        <w:gridCol w:w="3708"/>
      </w:tblGrid>
      <w:tr w14:paraId="5A6F2646">
        <w:tblPrEx>
          <w:shd w:val="clear" w:color="auto" w:fill="FFFFFF"/>
          <w:tblCellMar>
            <w:top w:w="0" w:type="dxa"/>
            <w:left w:w="0" w:type="dxa"/>
            <w:bottom w:w="0" w:type="dxa"/>
            <w:right w:w="0" w:type="dxa"/>
          </w:tblCellMar>
        </w:tblPrEx>
        <w:trPr>
          <w:tblHeader/>
          <w:tblCellSpacing w:w="15" w:type="dxa"/>
        </w:trPr>
        <w:tc>
          <w:tcPr>
            <w:tcW w:w="1627" w:type="dxa"/>
            <w:tcBorders>
              <w:top w:val="single" w:color="auto" w:sz="6" w:space="0"/>
              <w:left w:val="single" w:color="auto" w:sz="6" w:space="0"/>
              <w:bottom w:val="single" w:color="auto" w:sz="6" w:space="0"/>
              <w:right w:val="single" w:color="auto" w:sz="6" w:space="0"/>
            </w:tcBorders>
            <w:shd w:val="clear" w:color="auto" w:fill="FFFFFF"/>
            <w:noWrap/>
            <w:tcMar>
              <w:top w:w="158" w:type="dxa"/>
              <w:left w:w="240" w:type="dxa"/>
              <w:bottom w:w="113" w:type="dxa"/>
              <w:right w:w="240" w:type="dxa"/>
            </w:tcMar>
            <w:vAlign w:val="center"/>
          </w:tcPr>
          <w:p w14:paraId="57A1E5D3">
            <w:pPr>
              <w:pStyle w:val="40"/>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相关方</w:t>
            </w:r>
          </w:p>
        </w:tc>
        <w:tc>
          <w:tcPr>
            <w:tcW w:w="2693" w:type="dxa"/>
            <w:tcBorders>
              <w:top w:val="single" w:color="auto" w:sz="6" w:space="0"/>
              <w:bottom w:val="single" w:color="auto" w:sz="6" w:space="0"/>
              <w:right w:val="single" w:color="auto" w:sz="6" w:space="0"/>
            </w:tcBorders>
            <w:shd w:val="clear" w:color="auto" w:fill="FFFFFF"/>
            <w:noWrap/>
            <w:tcMar>
              <w:top w:w="158" w:type="dxa"/>
              <w:left w:w="240" w:type="dxa"/>
              <w:bottom w:w="113" w:type="dxa"/>
              <w:right w:w="240" w:type="dxa"/>
            </w:tcMar>
            <w:vAlign w:val="center"/>
          </w:tcPr>
          <w:p w14:paraId="63ACCC18">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核心需求</w:t>
            </w:r>
          </w:p>
        </w:tc>
        <w:tc>
          <w:tcPr>
            <w:tcW w:w="3663" w:type="dxa"/>
            <w:tcBorders>
              <w:top w:val="single" w:color="auto" w:sz="6" w:space="0"/>
              <w:bottom w:val="single" w:color="auto" w:sz="6" w:space="0"/>
              <w:right w:val="single" w:color="auto" w:sz="6" w:space="0"/>
            </w:tcBorders>
            <w:shd w:val="clear" w:color="auto" w:fill="FFFFFF"/>
            <w:noWrap/>
            <w:tcMar>
              <w:top w:w="158" w:type="dxa"/>
              <w:left w:w="240" w:type="dxa"/>
              <w:bottom w:w="113" w:type="dxa"/>
              <w:right w:w="240" w:type="dxa"/>
            </w:tcMar>
            <w:vAlign w:val="center"/>
          </w:tcPr>
          <w:p w14:paraId="1CDF5F1B">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典型场景</w:t>
            </w:r>
          </w:p>
        </w:tc>
      </w:tr>
      <w:tr w14:paraId="3C615CE6">
        <w:tblPrEx>
          <w:shd w:val="clear" w:color="auto" w:fill="FFFFFF"/>
          <w:tblCellMar>
            <w:top w:w="0" w:type="dxa"/>
            <w:left w:w="0" w:type="dxa"/>
            <w:bottom w:w="0" w:type="dxa"/>
            <w:right w:w="0" w:type="dxa"/>
          </w:tblCellMar>
        </w:tblPrEx>
        <w:trPr>
          <w:trHeight w:val="720" w:hRule="atLeast"/>
          <w:tblCellSpacing w:w="15" w:type="dxa"/>
        </w:trPr>
        <w:tc>
          <w:tcPr>
            <w:tcW w:w="1627" w:type="dxa"/>
            <w:tcBorders>
              <w:left w:val="single" w:color="auto" w:sz="6" w:space="0"/>
              <w:bottom w:val="single" w:color="auto" w:sz="6" w:space="0"/>
              <w:right w:val="single" w:color="auto" w:sz="6" w:space="0"/>
            </w:tcBorders>
            <w:shd w:val="clear" w:color="auto" w:fill="FFFFFF"/>
            <w:noWrap w:val="0"/>
            <w:tcMar>
              <w:top w:w="158" w:type="dxa"/>
              <w:left w:w="240" w:type="dxa"/>
              <w:bottom w:w="158" w:type="dxa"/>
              <w:right w:w="240" w:type="dxa"/>
            </w:tcMar>
            <w:vAlign w:val="center"/>
          </w:tcPr>
          <w:p w14:paraId="1B7AAA49">
            <w:pPr>
              <w:pStyle w:val="40"/>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z w:val="24"/>
                <w:szCs w:val="24"/>
              </w:rPr>
            </w:pPr>
            <w:r>
              <w:rPr>
                <w:rFonts w:hint="eastAsia" w:ascii="仿宋" w:hAnsi="仿宋" w:eastAsia="仿宋" w:cs="仿宋"/>
                <w:b/>
                <w:bCs/>
                <w:sz w:val="24"/>
                <w:szCs w:val="24"/>
              </w:rPr>
              <w:t>患者</w:t>
            </w:r>
            <w:r>
              <w:rPr>
                <w:rFonts w:hint="eastAsia" w:ascii="仿宋" w:hAnsi="仿宋" w:eastAsia="仿宋" w:cs="仿宋"/>
                <w:sz w:val="24"/>
                <w:szCs w:val="24"/>
              </w:rPr>
              <w:t>‌</w:t>
            </w:r>
          </w:p>
        </w:tc>
        <w:tc>
          <w:tcPr>
            <w:tcW w:w="2693" w:type="dxa"/>
            <w:tcBorders>
              <w:bottom w:val="single" w:color="auto" w:sz="6" w:space="0"/>
              <w:right w:val="single" w:color="auto" w:sz="6" w:space="0"/>
            </w:tcBorders>
            <w:shd w:val="clear" w:color="auto" w:fill="FFFFFF"/>
            <w:noWrap w:val="0"/>
            <w:tcMar>
              <w:top w:w="158" w:type="dxa"/>
              <w:left w:w="240" w:type="dxa"/>
              <w:bottom w:w="158" w:type="dxa"/>
              <w:right w:w="240" w:type="dxa"/>
            </w:tcMar>
            <w:vAlign w:val="center"/>
          </w:tcPr>
          <w:p w14:paraId="34574542">
            <w:pPr>
              <w:pStyle w:val="40"/>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便捷支付、透明结算</w:t>
            </w:r>
          </w:p>
        </w:tc>
        <w:tc>
          <w:tcPr>
            <w:tcW w:w="3663" w:type="dxa"/>
            <w:tcBorders>
              <w:bottom w:val="single" w:color="auto" w:sz="6" w:space="0"/>
              <w:right w:val="single" w:color="auto" w:sz="6" w:space="0"/>
            </w:tcBorders>
            <w:shd w:val="clear" w:color="auto" w:fill="FFFFFF"/>
            <w:noWrap w:val="0"/>
            <w:tcMar>
              <w:top w:w="158" w:type="dxa"/>
              <w:left w:w="240" w:type="dxa"/>
              <w:bottom w:w="158" w:type="dxa"/>
              <w:right w:w="240" w:type="dxa"/>
            </w:tcMar>
            <w:vAlign w:val="center"/>
          </w:tcPr>
          <w:p w14:paraId="01CDCB84">
            <w:pPr>
              <w:pStyle w:val="40"/>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手机完成医保结算，查看费用明细</w:t>
            </w:r>
          </w:p>
        </w:tc>
      </w:tr>
      <w:tr w14:paraId="59CECEB1">
        <w:tblPrEx>
          <w:shd w:val="clear" w:color="auto" w:fill="FFFFFF"/>
          <w:tblCellMar>
            <w:top w:w="0" w:type="dxa"/>
            <w:left w:w="0" w:type="dxa"/>
            <w:bottom w:w="0" w:type="dxa"/>
            <w:right w:w="0" w:type="dxa"/>
          </w:tblCellMar>
        </w:tblPrEx>
        <w:trPr>
          <w:tblCellSpacing w:w="15" w:type="dxa"/>
        </w:trPr>
        <w:tc>
          <w:tcPr>
            <w:tcW w:w="1627" w:type="dxa"/>
            <w:tcBorders>
              <w:left w:val="single" w:color="auto" w:sz="6" w:space="0"/>
              <w:bottom w:val="single" w:color="auto" w:sz="6" w:space="0"/>
              <w:right w:val="single" w:color="auto" w:sz="6" w:space="0"/>
            </w:tcBorders>
            <w:shd w:val="clear" w:color="auto" w:fill="FFFFFF"/>
            <w:noWrap w:val="0"/>
            <w:tcMar>
              <w:top w:w="158" w:type="dxa"/>
              <w:left w:w="240" w:type="dxa"/>
              <w:bottom w:w="158" w:type="dxa"/>
              <w:right w:w="240" w:type="dxa"/>
            </w:tcMar>
            <w:vAlign w:val="center"/>
          </w:tcPr>
          <w:p w14:paraId="079733FB">
            <w:pPr>
              <w:pStyle w:val="40"/>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z w:val="24"/>
                <w:szCs w:val="24"/>
              </w:rPr>
            </w:pPr>
            <w:r>
              <w:rPr>
                <w:rFonts w:hint="eastAsia" w:ascii="仿宋" w:hAnsi="仿宋" w:eastAsia="仿宋" w:cs="仿宋"/>
                <w:b/>
                <w:bCs/>
                <w:sz w:val="24"/>
                <w:szCs w:val="24"/>
              </w:rPr>
              <w:t>医疗机构</w:t>
            </w:r>
            <w:r>
              <w:rPr>
                <w:rFonts w:hint="eastAsia" w:ascii="仿宋" w:hAnsi="仿宋" w:eastAsia="仿宋" w:cs="仿宋"/>
                <w:sz w:val="24"/>
                <w:szCs w:val="24"/>
              </w:rPr>
              <w:t>‌</w:t>
            </w:r>
          </w:p>
        </w:tc>
        <w:tc>
          <w:tcPr>
            <w:tcW w:w="2693" w:type="dxa"/>
            <w:tcBorders>
              <w:bottom w:val="single" w:color="auto" w:sz="6" w:space="0"/>
              <w:right w:val="single" w:color="auto" w:sz="6" w:space="0"/>
            </w:tcBorders>
            <w:shd w:val="clear" w:color="auto" w:fill="FFFFFF"/>
            <w:noWrap w:val="0"/>
            <w:tcMar>
              <w:top w:w="158" w:type="dxa"/>
              <w:left w:w="240" w:type="dxa"/>
              <w:bottom w:w="158" w:type="dxa"/>
              <w:right w:w="240" w:type="dxa"/>
            </w:tcMar>
            <w:vAlign w:val="center"/>
          </w:tcPr>
          <w:p w14:paraId="7F6208BA">
            <w:pPr>
              <w:pStyle w:val="40"/>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提高结算效率</w:t>
            </w:r>
          </w:p>
        </w:tc>
        <w:tc>
          <w:tcPr>
            <w:tcW w:w="3663" w:type="dxa"/>
            <w:tcBorders>
              <w:bottom w:val="single" w:color="auto" w:sz="6" w:space="0"/>
              <w:right w:val="single" w:color="auto" w:sz="6" w:space="0"/>
            </w:tcBorders>
            <w:shd w:val="clear" w:color="auto" w:fill="FFFFFF"/>
            <w:noWrap w:val="0"/>
            <w:tcMar>
              <w:top w:w="158" w:type="dxa"/>
              <w:left w:w="240" w:type="dxa"/>
              <w:bottom w:w="158" w:type="dxa"/>
              <w:right w:w="240" w:type="dxa"/>
            </w:tcMar>
            <w:vAlign w:val="center"/>
          </w:tcPr>
          <w:p w14:paraId="71343991">
            <w:pPr>
              <w:pStyle w:val="40"/>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减少窗口排队压力，优化就诊流程</w:t>
            </w:r>
          </w:p>
        </w:tc>
      </w:tr>
      <w:tr w14:paraId="3B6F25A6">
        <w:tblPrEx>
          <w:shd w:val="clear" w:color="auto" w:fill="FFFFFF"/>
          <w:tblCellMar>
            <w:top w:w="0" w:type="dxa"/>
            <w:left w:w="0" w:type="dxa"/>
            <w:bottom w:w="0" w:type="dxa"/>
            <w:right w:w="0" w:type="dxa"/>
          </w:tblCellMar>
        </w:tblPrEx>
        <w:trPr>
          <w:tblCellSpacing w:w="15" w:type="dxa"/>
        </w:trPr>
        <w:tc>
          <w:tcPr>
            <w:tcW w:w="1627" w:type="dxa"/>
            <w:tcBorders>
              <w:left w:val="single" w:color="auto" w:sz="6" w:space="0"/>
              <w:bottom w:val="single" w:color="auto" w:sz="6" w:space="0"/>
              <w:right w:val="single" w:color="auto" w:sz="6" w:space="0"/>
            </w:tcBorders>
            <w:shd w:val="clear" w:color="auto" w:fill="FFFFFF"/>
            <w:noWrap w:val="0"/>
            <w:tcMar>
              <w:top w:w="158" w:type="dxa"/>
              <w:left w:w="240" w:type="dxa"/>
              <w:bottom w:w="158" w:type="dxa"/>
              <w:right w:w="240" w:type="dxa"/>
            </w:tcMar>
            <w:vAlign w:val="center"/>
          </w:tcPr>
          <w:p w14:paraId="1E571F2A">
            <w:pPr>
              <w:pStyle w:val="40"/>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z w:val="24"/>
                <w:szCs w:val="24"/>
              </w:rPr>
            </w:pPr>
            <w:r>
              <w:rPr>
                <w:rFonts w:hint="eastAsia" w:ascii="仿宋" w:hAnsi="仿宋" w:eastAsia="仿宋" w:cs="仿宋"/>
                <w:b/>
                <w:bCs/>
                <w:sz w:val="24"/>
                <w:szCs w:val="24"/>
              </w:rPr>
              <w:t>医保部门</w:t>
            </w:r>
            <w:r>
              <w:rPr>
                <w:rFonts w:hint="eastAsia" w:ascii="仿宋" w:hAnsi="仿宋" w:eastAsia="仿宋" w:cs="仿宋"/>
                <w:sz w:val="24"/>
                <w:szCs w:val="24"/>
              </w:rPr>
              <w:t>‌</w:t>
            </w:r>
          </w:p>
        </w:tc>
        <w:tc>
          <w:tcPr>
            <w:tcW w:w="2693" w:type="dxa"/>
            <w:tcBorders>
              <w:bottom w:val="single" w:color="auto" w:sz="6" w:space="0"/>
              <w:right w:val="single" w:color="auto" w:sz="6" w:space="0"/>
            </w:tcBorders>
            <w:shd w:val="clear" w:color="auto" w:fill="FFFFFF"/>
            <w:noWrap w:val="0"/>
            <w:tcMar>
              <w:top w:w="158" w:type="dxa"/>
              <w:left w:w="240" w:type="dxa"/>
              <w:bottom w:w="158" w:type="dxa"/>
              <w:right w:w="240" w:type="dxa"/>
            </w:tcMar>
            <w:vAlign w:val="center"/>
          </w:tcPr>
          <w:p w14:paraId="6225415D">
            <w:pPr>
              <w:pStyle w:val="40"/>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基金安全监管</w:t>
            </w:r>
          </w:p>
        </w:tc>
        <w:tc>
          <w:tcPr>
            <w:tcW w:w="3663" w:type="dxa"/>
            <w:tcBorders>
              <w:bottom w:val="single" w:color="auto" w:sz="6" w:space="0"/>
              <w:right w:val="single" w:color="auto" w:sz="6" w:space="0"/>
            </w:tcBorders>
            <w:shd w:val="clear" w:color="auto" w:fill="FFFFFF"/>
            <w:noWrap w:val="0"/>
            <w:tcMar>
              <w:top w:w="158" w:type="dxa"/>
              <w:left w:w="240" w:type="dxa"/>
              <w:bottom w:w="158" w:type="dxa"/>
              <w:right w:w="240" w:type="dxa"/>
            </w:tcMar>
            <w:vAlign w:val="center"/>
          </w:tcPr>
          <w:p w14:paraId="485C6C05">
            <w:pPr>
              <w:pStyle w:val="40"/>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实时监控支付行为，防止骗保</w:t>
            </w:r>
          </w:p>
        </w:tc>
      </w:tr>
      <w:tr w14:paraId="1594A778">
        <w:tblPrEx>
          <w:shd w:val="clear" w:color="auto" w:fill="FFFFFF"/>
          <w:tblCellMar>
            <w:top w:w="0" w:type="dxa"/>
            <w:left w:w="0" w:type="dxa"/>
            <w:bottom w:w="0" w:type="dxa"/>
            <w:right w:w="0" w:type="dxa"/>
          </w:tblCellMar>
        </w:tblPrEx>
        <w:trPr>
          <w:tblCellSpacing w:w="15" w:type="dxa"/>
        </w:trPr>
        <w:tc>
          <w:tcPr>
            <w:tcW w:w="1627" w:type="dxa"/>
            <w:tcBorders>
              <w:left w:val="single" w:color="auto" w:sz="6" w:space="0"/>
              <w:bottom w:val="single" w:color="auto" w:sz="6" w:space="0"/>
              <w:right w:val="single" w:color="auto" w:sz="6" w:space="0"/>
            </w:tcBorders>
            <w:shd w:val="clear" w:color="auto" w:fill="FFFFFF"/>
            <w:noWrap w:val="0"/>
            <w:tcMar>
              <w:top w:w="158" w:type="dxa"/>
              <w:left w:w="240" w:type="dxa"/>
              <w:bottom w:w="158" w:type="dxa"/>
              <w:right w:w="240" w:type="dxa"/>
            </w:tcMar>
            <w:vAlign w:val="center"/>
          </w:tcPr>
          <w:p w14:paraId="7BA1A596">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b/>
                <w:bCs/>
                <w:sz w:val="24"/>
                <w:szCs w:val="24"/>
              </w:rPr>
              <w:t>药店</w:t>
            </w:r>
            <w:r>
              <w:rPr>
                <w:rFonts w:hint="eastAsia" w:ascii="仿宋" w:hAnsi="仿宋" w:eastAsia="仿宋" w:cs="仿宋"/>
                <w:sz w:val="24"/>
                <w:szCs w:val="24"/>
              </w:rPr>
              <w:t>‌</w:t>
            </w:r>
          </w:p>
        </w:tc>
        <w:tc>
          <w:tcPr>
            <w:tcW w:w="2693" w:type="dxa"/>
            <w:tcBorders>
              <w:bottom w:val="single" w:color="auto" w:sz="6" w:space="0"/>
              <w:right w:val="single" w:color="auto" w:sz="6" w:space="0"/>
            </w:tcBorders>
            <w:shd w:val="clear" w:color="auto" w:fill="FFFFFF"/>
            <w:noWrap w:val="0"/>
            <w:tcMar>
              <w:top w:w="158" w:type="dxa"/>
              <w:left w:w="240" w:type="dxa"/>
              <w:bottom w:w="158" w:type="dxa"/>
              <w:right w:w="240" w:type="dxa"/>
            </w:tcMar>
            <w:vAlign w:val="center"/>
          </w:tcPr>
          <w:p w14:paraId="6A96B18E">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稳定支付渠道</w:t>
            </w:r>
          </w:p>
        </w:tc>
        <w:tc>
          <w:tcPr>
            <w:tcW w:w="3663" w:type="dxa"/>
            <w:tcBorders>
              <w:bottom w:val="single" w:color="auto" w:sz="6" w:space="0"/>
              <w:right w:val="single" w:color="auto" w:sz="6" w:space="0"/>
            </w:tcBorders>
            <w:shd w:val="clear" w:color="auto" w:fill="FFFFFF"/>
            <w:noWrap w:val="0"/>
            <w:tcMar>
              <w:top w:w="158" w:type="dxa"/>
              <w:left w:w="240" w:type="dxa"/>
              <w:bottom w:w="158" w:type="dxa"/>
              <w:right w:w="240" w:type="dxa"/>
            </w:tcMar>
            <w:vAlign w:val="center"/>
          </w:tcPr>
          <w:p w14:paraId="487A376C">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支持线上医保个账购药服务</w:t>
            </w:r>
          </w:p>
        </w:tc>
      </w:tr>
    </w:tbl>
    <w:p w14:paraId="7BF455D3">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医保移动支付系统的建设需求是多维度的，既需要满足政策监管要求，又要解决行业痛点，同时兼顾各相关方的实际需求。随着2025年全国推广的深入，这些需求点将推动医保服务向更便捷、更智能的方向发展。</w:t>
      </w:r>
    </w:p>
    <w:p w14:paraId="23687B4B">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rPr>
        <w:t>第二：医保智能监管系统对接的业务需求</w:t>
      </w:r>
      <w:bookmarkEnd w:id="37"/>
    </w:p>
    <w:p w14:paraId="2B82C391">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医保智能监管系统是保障医保基金安全、提升监管效能的重要工具，其需求点主要来源于政策要求、行业痛点以及各相关方的实际需求。以下从多个维度详细分析医保智能监管系统的核心需求点：</w:t>
      </w:r>
    </w:p>
    <w:p w14:paraId="324CD293">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政策与监管需求</w:t>
      </w:r>
    </w:p>
    <w:p w14:paraId="03913717">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b/>
          <w:bCs/>
          <w:sz w:val="24"/>
          <w:szCs w:val="24"/>
        </w:rPr>
        <w:t>全国统一智能监管体系建设</w:t>
      </w:r>
      <w:r>
        <w:rPr>
          <w:rFonts w:hint="eastAsia" w:ascii="仿宋" w:hAnsi="仿宋" w:eastAsia="仿宋" w:cs="仿宋"/>
          <w:sz w:val="24"/>
          <w:szCs w:val="24"/>
        </w:rPr>
        <w:t>‌：</w:t>
      </w:r>
      <w:bookmarkStart w:id="38" w:name="OLE_LINK2"/>
      <w:r>
        <w:rPr>
          <w:rFonts w:hint="eastAsia" w:ascii="仿宋" w:hAnsi="仿宋" w:eastAsia="仿宋" w:cs="仿宋"/>
          <w:sz w:val="24"/>
          <w:szCs w:val="24"/>
        </w:rPr>
        <w:t>国家医保局2025年4月印发《关于开展智能监管改革试点的通知》，</w:t>
      </w:r>
      <w:bookmarkEnd w:id="38"/>
      <w:r>
        <w:rPr>
          <w:rFonts w:hint="eastAsia" w:ascii="仿宋" w:hAnsi="仿宋" w:eastAsia="仿宋" w:cs="仿宋"/>
          <w:sz w:val="24"/>
          <w:szCs w:val="24"/>
        </w:rPr>
        <w:t>要求构建基于AI、生物识别、物联网等技术的全流程监管体系，实现从“人海战术”到“智慧治理”的转型。</w:t>
      </w:r>
    </w:p>
    <w:p w14:paraId="4263E58A">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b/>
          <w:bCs/>
          <w:sz w:val="24"/>
          <w:szCs w:val="24"/>
        </w:rPr>
        <w:t>智能监管"两库"规则实施</w:t>
      </w:r>
      <w:r>
        <w:rPr>
          <w:rFonts w:hint="eastAsia" w:ascii="仿宋" w:hAnsi="仿宋" w:eastAsia="仿宋" w:cs="仿宋"/>
          <w:sz w:val="24"/>
          <w:szCs w:val="24"/>
        </w:rPr>
        <w:t>‌：国家医保局分批次发布智能监管知识库和规则库（“两库”），涵盖药品区分性别使用、手术项目折价收费等规则，要求省级医保部门动态更新省级平台智能监管子系统。</w:t>
      </w:r>
    </w:p>
    <w:p w14:paraId="2F4517E9">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b/>
          <w:bCs/>
          <w:sz w:val="24"/>
          <w:szCs w:val="24"/>
        </w:rPr>
        <w:t>医保基金安全监管</w:t>
      </w:r>
      <w:r>
        <w:rPr>
          <w:rFonts w:hint="eastAsia" w:ascii="仿宋" w:hAnsi="仿宋" w:eastAsia="仿宋" w:cs="仿宋"/>
          <w:sz w:val="24"/>
          <w:szCs w:val="24"/>
        </w:rPr>
        <w:t>‌：系统需具备实时监控、预警和追溯功能，防止欺诈骗保行为。2024年全国累计追回违规医保基金超230亿元，智能监管是应对新型骗保手段的必要措施。</w:t>
      </w:r>
    </w:p>
    <w:p w14:paraId="2D75A6E0">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核心功能需求</w:t>
      </w:r>
    </w:p>
    <w:p w14:paraId="7AA43BC4">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b/>
          <w:bCs/>
          <w:sz w:val="24"/>
          <w:szCs w:val="24"/>
        </w:rPr>
        <w:t>全流程监管闭环</w:t>
      </w:r>
      <w:r>
        <w:rPr>
          <w:rFonts w:hint="eastAsia" w:ascii="仿宋" w:hAnsi="仿宋" w:eastAsia="仿宋" w:cs="仿宋"/>
          <w:sz w:val="24"/>
          <w:szCs w:val="24"/>
        </w:rPr>
        <w:t>‌：</w:t>
      </w:r>
      <w:r>
        <w:rPr>
          <w:rFonts w:hint="eastAsia" w:ascii="仿宋" w:hAnsi="仿宋" w:eastAsia="仿宋" w:cs="仿宋"/>
          <w:b/>
          <w:bCs/>
          <w:sz w:val="24"/>
          <w:szCs w:val="24"/>
        </w:rPr>
        <w:t>事前拦截</w:t>
      </w:r>
      <w:r>
        <w:rPr>
          <w:rFonts w:hint="eastAsia" w:ascii="仿宋" w:hAnsi="仿宋" w:eastAsia="仿宋" w:cs="仿宋"/>
          <w:sz w:val="24"/>
          <w:szCs w:val="24"/>
        </w:rPr>
        <w:t>‌：如处方超量开药自动提示、非资质医师操作锁死等；</w:t>
      </w:r>
      <w:r>
        <w:rPr>
          <w:rFonts w:hint="eastAsia" w:ascii="仿宋" w:hAnsi="仿宋" w:eastAsia="仿宋" w:cs="仿宋"/>
          <w:b/>
          <w:bCs/>
          <w:sz w:val="24"/>
          <w:szCs w:val="24"/>
        </w:rPr>
        <w:t>事中监控</w:t>
      </w:r>
      <w:r>
        <w:rPr>
          <w:rFonts w:hint="eastAsia" w:ascii="仿宋" w:hAnsi="仿宋" w:eastAsia="仿宋" w:cs="仿宋"/>
          <w:sz w:val="24"/>
          <w:szCs w:val="24"/>
        </w:rPr>
        <w:t>‌：通过RFID芯片核验高值耗材使用真实性，NLP技术分析病历矛盾；</w:t>
      </w:r>
      <w:r>
        <w:rPr>
          <w:rFonts w:hint="eastAsia" w:ascii="仿宋" w:hAnsi="仿宋" w:eastAsia="仿宋" w:cs="仿宋"/>
          <w:b/>
          <w:bCs/>
          <w:sz w:val="24"/>
          <w:szCs w:val="24"/>
        </w:rPr>
        <w:t>事后追溯</w:t>
      </w:r>
      <w:r>
        <w:rPr>
          <w:rFonts w:hint="eastAsia" w:ascii="仿宋" w:hAnsi="仿宋" w:eastAsia="仿宋" w:cs="仿宋"/>
          <w:sz w:val="24"/>
          <w:szCs w:val="24"/>
        </w:rPr>
        <w:t>‌：建立医生"诚信档案"，违规行为与职称评定挂钩</w:t>
      </w:r>
      <w:r>
        <w:rPr>
          <w:rFonts w:hint="eastAsia" w:ascii="仿宋" w:hAnsi="仿宋" w:eastAsia="仿宋" w:cs="仿宋"/>
          <w:sz w:val="24"/>
          <w:szCs w:val="24"/>
          <w:lang w:eastAsia="zh-CN"/>
        </w:rPr>
        <w:t>。</w:t>
      </w:r>
    </w:p>
    <w:p w14:paraId="55C5F555">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b/>
          <w:bCs/>
          <w:sz w:val="24"/>
          <w:szCs w:val="24"/>
        </w:rPr>
        <w:t>智能分析预警</w:t>
      </w:r>
      <w:r>
        <w:rPr>
          <w:rFonts w:hint="eastAsia" w:ascii="仿宋" w:hAnsi="仿宋" w:eastAsia="仿宋" w:cs="仿宋"/>
          <w:sz w:val="24"/>
          <w:szCs w:val="24"/>
        </w:rPr>
        <w:t>‌：数据分析识别异常结算（如性别不符诊疗）；实时比对医疗费用与医保目录，发现超标准收费等行为。</w:t>
      </w:r>
    </w:p>
    <w:p w14:paraId="17CAD611">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b/>
          <w:bCs/>
          <w:sz w:val="24"/>
          <w:szCs w:val="24"/>
        </w:rPr>
        <w:t>系统互联互通</w:t>
      </w:r>
      <w:r>
        <w:rPr>
          <w:rFonts w:hint="eastAsia" w:ascii="仿宋" w:hAnsi="仿宋" w:eastAsia="仿宋" w:cs="仿宋"/>
          <w:sz w:val="24"/>
          <w:szCs w:val="24"/>
        </w:rPr>
        <w:t>‌：需打通医保部门、医疗机构、药店间的数据通道，实现监管数据共享。</w:t>
      </w:r>
    </w:p>
    <w:p w14:paraId="68AAADEC">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相关方需求</w:t>
      </w:r>
    </w:p>
    <w:tbl>
      <w:tblPr>
        <w:tblStyle w:val="17"/>
        <w:tblW w:w="0" w:type="auto"/>
        <w:tblCellSpacing w:w="15" w:type="dxa"/>
        <w:tblInd w:w="293" w:type="dxa"/>
        <w:shd w:val="clear" w:color="auto" w:fill="FFFFFF"/>
        <w:tblLayout w:type="autofit"/>
        <w:tblCellMar>
          <w:top w:w="0" w:type="dxa"/>
          <w:left w:w="0" w:type="dxa"/>
          <w:bottom w:w="0" w:type="dxa"/>
          <w:right w:w="0" w:type="dxa"/>
        </w:tblCellMar>
      </w:tblPr>
      <w:tblGrid>
        <w:gridCol w:w="1733"/>
        <w:gridCol w:w="2951"/>
        <w:gridCol w:w="3905"/>
      </w:tblGrid>
      <w:tr w14:paraId="02F35AC5">
        <w:tblPrEx>
          <w:shd w:val="clear" w:color="auto" w:fill="FFFFFF"/>
          <w:tblCellMar>
            <w:top w:w="0" w:type="dxa"/>
            <w:left w:w="0" w:type="dxa"/>
            <w:bottom w:w="0" w:type="dxa"/>
            <w:right w:w="0" w:type="dxa"/>
          </w:tblCellMar>
        </w:tblPrEx>
        <w:trPr>
          <w:tblHeader/>
          <w:tblCellSpacing w:w="15" w:type="dxa"/>
        </w:trPr>
        <w:tc>
          <w:tcPr>
            <w:tcW w:w="1668" w:type="dxa"/>
            <w:tcBorders>
              <w:top w:val="single" w:color="auto" w:sz="6" w:space="0"/>
              <w:left w:val="single" w:color="auto" w:sz="6" w:space="0"/>
              <w:bottom w:val="single" w:color="auto" w:sz="6" w:space="0"/>
              <w:right w:val="single" w:color="auto" w:sz="6" w:space="0"/>
            </w:tcBorders>
            <w:shd w:val="clear" w:color="auto" w:fill="FFFFFF"/>
            <w:noWrap/>
            <w:tcMar>
              <w:top w:w="158" w:type="dxa"/>
              <w:left w:w="240" w:type="dxa"/>
              <w:bottom w:w="113" w:type="dxa"/>
              <w:right w:w="240" w:type="dxa"/>
            </w:tcMar>
            <w:vAlign w:val="center"/>
          </w:tcPr>
          <w:p w14:paraId="609F7FE9">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相关方</w:t>
            </w:r>
          </w:p>
        </w:tc>
        <w:tc>
          <w:tcPr>
            <w:tcW w:w="2927" w:type="dxa"/>
            <w:tcBorders>
              <w:top w:val="single" w:color="auto" w:sz="6" w:space="0"/>
              <w:bottom w:val="single" w:color="auto" w:sz="6" w:space="0"/>
              <w:right w:val="single" w:color="auto" w:sz="6" w:space="0"/>
            </w:tcBorders>
            <w:shd w:val="clear" w:color="auto" w:fill="FFFFFF"/>
            <w:noWrap/>
            <w:tcMar>
              <w:top w:w="158" w:type="dxa"/>
              <w:left w:w="240" w:type="dxa"/>
              <w:bottom w:w="113" w:type="dxa"/>
              <w:right w:w="240" w:type="dxa"/>
            </w:tcMar>
            <w:vAlign w:val="center"/>
          </w:tcPr>
          <w:p w14:paraId="3826E1AD">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核心需求</w:t>
            </w:r>
          </w:p>
        </w:tc>
        <w:tc>
          <w:tcPr>
            <w:tcW w:w="3874" w:type="dxa"/>
            <w:tcBorders>
              <w:top w:val="single" w:color="auto" w:sz="6" w:space="0"/>
              <w:bottom w:val="single" w:color="auto" w:sz="6" w:space="0"/>
              <w:right w:val="single" w:color="auto" w:sz="6" w:space="0"/>
            </w:tcBorders>
            <w:shd w:val="clear" w:color="auto" w:fill="FFFFFF"/>
            <w:noWrap/>
            <w:tcMar>
              <w:top w:w="158" w:type="dxa"/>
              <w:left w:w="240" w:type="dxa"/>
              <w:bottom w:w="113" w:type="dxa"/>
              <w:right w:w="240" w:type="dxa"/>
            </w:tcMar>
            <w:vAlign w:val="center"/>
          </w:tcPr>
          <w:p w14:paraId="7413ED7E">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典型场景</w:t>
            </w:r>
          </w:p>
        </w:tc>
      </w:tr>
      <w:tr w14:paraId="3F4FAF24">
        <w:tblPrEx>
          <w:shd w:val="clear" w:color="auto" w:fill="FFFFFF"/>
          <w:tblCellMar>
            <w:top w:w="0" w:type="dxa"/>
            <w:left w:w="0" w:type="dxa"/>
            <w:bottom w:w="0" w:type="dxa"/>
            <w:right w:w="0" w:type="dxa"/>
          </w:tblCellMar>
        </w:tblPrEx>
        <w:trPr>
          <w:tblCellSpacing w:w="15" w:type="dxa"/>
        </w:trPr>
        <w:tc>
          <w:tcPr>
            <w:tcW w:w="1668" w:type="dxa"/>
            <w:tcBorders>
              <w:left w:val="single" w:color="auto" w:sz="6" w:space="0"/>
              <w:bottom w:val="single" w:color="auto" w:sz="6" w:space="0"/>
              <w:right w:val="single" w:color="auto" w:sz="6" w:space="0"/>
            </w:tcBorders>
            <w:shd w:val="clear" w:color="auto" w:fill="FFFFFF"/>
            <w:noWrap w:val="0"/>
            <w:tcMar>
              <w:top w:w="158" w:type="dxa"/>
              <w:left w:w="240" w:type="dxa"/>
              <w:bottom w:w="158" w:type="dxa"/>
              <w:right w:w="240" w:type="dxa"/>
            </w:tcMar>
            <w:vAlign w:val="center"/>
          </w:tcPr>
          <w:p w14:paraId="43E63665">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b/>
                <w:bCs/>
                <w:sz w:val="24"/>
                <w:szCs w:val="24"/>
              </w:rPr>
              <w:t>医保部门</w:t>
            </w:r>
            <w:r>
              <w:rPr>
                <w:rFonts w:hint="eastAsia" w:ascii="仿宋" w:hAnsi="仿宋" w:eastAsia="仿宋" w:cs="仿宋"/>
                <w:sz w:val="24"/>
                <w:szCs w:val="24"/>
              </w:rPr>
              <w:t>‌</w:t>
            </w:r>
          </w:p>
        </w:tc>
        <w:tc>
          <w:tcPr>
            <w:tcW w:w="2927" w:type="dxa"/>
            <w:tcBorders>
              <w:bottom w:val="single" w:color="auto" w:sz="6" w:space="0"/>
              <w:right w:val="single" w:color="auto" w:sz="6" w:space="0"/>
            </w:tcBorders>
            <w:shd w:val="clear" w:color="auto" w:fill="FFFFFF"/>
            <w:noWrap w:val="0"/>
            <w:tcMar>
              <w:top w:w="158" w:type="dxa"/>
              <w:left w:w="240" w:type="dxa"/>
              <w:bottom w:w="158" w:type="dxa"/>
              <w:right w:w="240" w:type="dxa"/>
            </w:tcMar>
            <w:vAlign w:val="center"/>
          </w:tcPr>
          <w:p w14:paraId="1698374E">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实时监控、预警机制</w:t>
            </w:r>
          </w:p>
        </w:tc>
        <w:tc>
          <w:tcPr>
            <w:tcW w:w="3874" w:type="dxa"/>
            <w:tcBorders>
              <w:bottom w:val="single" w:color="auto" w:sz="6" w:space="0"/>
              <w:right w:val="single" w:color="auto" w:sz="6" w:space="0"/>
            </w:tcBorders>
            <w:shd w:val="clear" w:color="auto" w:fill="FFFFFF"/>
            <w:noWrap w:val="0"/>
            <w:tcMar>
              <w:top w:w="158" w:type="dxa"/>
              <w:left w:w="240" w:type="dxa"/>
              <w:bottom w:w="158" w:type="dxa"/>
              <w:right w:w="240" w:type="dxa"/>
            </w:tcMar>
            <w:vAlign w:val="center"/>
          </w:tcPr>
          <w:p w14:paraId="2546E6ED">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查看开方全流程记录，监控基金使用</w:t>
            </w:r>
          </w:p>
        </w:tc>
      </w:tr>
      <w:tr w14:paraId="7400A26C">
        <w:tblPrEx>
          <w:shd w:val="clear" w:color="auto" w:fill="FFFFFF"/>
          <w:tblCellMar>
            <w:top w:w="0" w:type="dxa"/>
            <w:left w:w="0" w:type="dxa"/>
            <w:bottom w:w="0" w:type="dxa"/>
            <w:right w:w="0" w:type="dxa"/>
          </w:tblCellMar>
        </w:tblPrEx>
        <w:trPr>
          <w:tblCellSpacing w:w="15" w:type="dxa"/>
        </w:trPr>
        <w:tc>
          <w:tcPr>
            <w:tcW w:w="1668" w:type="dxa"/>
            <w:tcBorders>
              <w:left w:val="single" w:color="auto" w:sz="6" w:space="0"/>
              <w:bottom w:val="single" w:color="auto" w:sz="6" w:space="0"/>
              <w:right w:val="single" w:color="auto" w:sz="6" w:space="0"/>
            </w:tcBorders>
            <w:shd w:val="clear" w:color="auto" w:fill="FFFFFF"/>
            <w:noWrap w:val="0"/>
            <w:tcMar>
              <w:top w:w="158" w:type="dxa"/>
              <w:left w:w="240" w:type="dxa"/>
              <w:bottom w:w="158" w:type="dxa"/>
              <w:right w:w="240" w:type="dxa"/>
            </w:tcMar>
            <w:vAlign w:val="center"/>
          </w:tcPr>
          <w:p w14:paraId="060A7E7F">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b/>
                <w:bCs/>
                <w:sz w:val="24"/>
                <w:szCs w:val="24"/>
              </w:rPr>
              <w:t>医疗机构</w:t>
            </w:r>
            <w:r>
              <w:rPr>
                <w:rFonts w:hint="eastAsia" w:ascii="仿宋" w:hAnsi="仿宋" w:eastAsia="仿宋" w:cs="仿宋"/>
                <w:sz w:val="24"/>
                <w:szCs w:val="24"/>
              </w:rPr>
              <w:t>‌</w:t>
            </w:r>
          </w:p>
        </w:tc>
        <w:tc>
          <w:tcPr>
            <w:tcW w:w="2927" w:type="dxa"/>
            <w:tcBorders>
              <w:bottom w:val="single" w:color="auto" w:sz="6" w:space="0"/>
              <w:right w:val="single" w:color="auto" w:sz="6" w:space="0"/>
            </w:tcBorders>
            <w:shd w:val="clear" w:color="auto" w:fill="FFFFFF"/>
            <w:noWrap w:val="0"/>
            <w:tcMar>
              <w:top w:w="158" w:type="dxa"/>
              <w:left w:w="240" w:type="dxa"/>
              <w:bottom w:w="158" w:type="dxa"/>
              <w:right w:w="240" w:type="dxa"/>
            </w:tcMar>
            <w:vAlign w:val="center"/>
          </w:tcPr>
          <w:p w14:paraId="22E3A3E1">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系统对接、合规支持</w:t>
            </w:r>
          </w:p>
        </w:tc>
        <w:tc>
          <w:tcPr>
            <w:tcW w:w="3874" w:type="dxa"/>
            <w:tcBorders>
              <w:bottom w:val="single" w:color="auto" w:sz="6" w:space="0"/>
              <w:right w:val="single" w:color="auto" w:sz="6" w:space="0"/>
            </w:tcBorders>
            <w:shd w:val="clear" w:color="auto" w:fill="FFFFFF"/>
            <w:noWrap w:val="0"/>
            <w:tcMar>
              <w:top w:w="158" w:type="dxa"/>
              <w:left w:w="240" w:type="dxa"/>
              <w:bottom w:w="158" w:type="dxa"/>
              <w:right w:w="240" w:type="dxa"/>
            </w:tcMar>
            <w:vAlign w:val="center"/>
          </w:tcPr>
          <w:p w14:paraId="2DFBEB4D">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HIS系统嵌入监管规则，自动拦截不合理处方</w:t>
            </w:r>
          </w:p>
        </w:tc>
      </w:tr>
      <w:tr w14:paraId="0CE6010B">
        <w:tblPrEx>
          <w:shd w:val="clear" w:color="auto" w:fill="FFFFFF"/>
          <w:tblCellMar>
            <w:top w:w="0" w:type="dxa"/>
            <w:left w:w="0" w:type="dxa"/>
            <w:bottom w:w="0" w:type="dxa"/>
            <w:right w:w="0" w:type="dxa"/>
          </w:tblCellMar>
        </w:tblPrEx>
        <w:trPr>
          <w:tblCellSpacing w:w="15" w:type="dxa"/>
        </w:trPr>
        <w:tc>
          <w:tcPr>
            <w:tcW w:w="1668" w:type="dxa"/>
            <w:tcBorders>
              <w:left w:val="single" w:color="auto" w:sz="6" w:space="0"/>
              <w:bottom w:val="single" w:color="auto" w:sz="6" w:space="0"/>
              <w:right w:val="single" w:color="auto" w:sz="6" w:space="0"/>
            </w:tcBorders>
            <w:shd w:val="clear" w:color="auto" w:fill="FFFFFF"/>
            <w:noWrap w:val="0"/>
            <w:tcMar>
              <w:top w:w="158" w:type="dxa"/>
              <w:left w:w="240" w:type="dxa"/>
              <w:bottom w:w="158" w:type="dxa"/>
              <w:right w:w="240" w:type="dxa"/>
            </w:tcMar>
            <w:vAlign w:val="center"/>
          </w:tcPr>
          <w:p w14:paraId="7970DB2A">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b/>
                <w:bCs/>
                <w:sz w:val="24"/>
                <w:szCs w:val="24"/>
              </w:rPr>
              <w:t>药店</w:t>
            </w:r>
            <w:r>
              <w:rPr>
                <w:rFonts w:hint="eastAsia" w:ascii="仿宋" w:hAnsi="仿宋" w:eastAsia="仿宋" w:cs="仿宋"/>
                <w:sz w:val="24"/>
                <w:szCs w:val="24"/>
              </w:rPr>
              <w:t>‌</w:t>
            </w:r>
          </w:p>
        </w:tc>
        <w:tc>
          <w:tcPr>
            <w:tcW w:w="2927" w:type="dxa"/>
            <w:tcBorders>
              <w:bottom w:val="single" w:color="auto" w:sz="6" w:space="0"/>
              <w:right w:val="single" w:color="auto" w:sz="6" w:space="0"/>
            </w:tcBorders>
            <w:shd w:val="clear" w:color="auto" w:fill="FFFFFF"/>
            <w:noWrap w:val="0"/>
            <w:tcMar>
              <w:top w:w="158" w:type="dxa"/>
              <w:left w:w="240" w:type="dxa"/>
              <w:bottom w:w="158" w:type="dxa"/>
              <w:right w:w="240" w:type="dxa"/>
            </w:tcMar>
            <w:vAlign w:val="center"/>
          </w:tcPr>
          <w:p w14:paraId="7333FD1C">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稳定处方来源、便捷结算</w:t>
            </w:r>
          </w:p>
        </w:tc>
        <w:tc>
          <w:tcPr>
            <w:tcW w:w="3874" w:type="dxa"/>
            <w:tcBorders>
              <w:bottom w:val="single" w:color="auto" w:sz="6" w:space="0"/>
              <w:right w:val="single" w:color="auto" w:sz="6" w:space="0"/>
            </w:tcBorders>
            <w:shd w:val="clear" w:color="auto" w:fill="FFFFFF"/>
            <w:noWrap w:val="0"/>
            <w:tcMar>
              <w:top w:w="158" w:type="dxa"/>
              <w:left w:w="240" w:type="dxa"/>
              <w:bottom w:w="158" w:type="dxa"/>
              <w:right w:w="240" w:type="dxa"/>
            </w:tcMar>
            <w:vAlign w:val="center"/>
          </w:tcPr>
          <w:p w14:paraId="1C32B250">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通过电子处方中心获得合规处方</w:t>
            </w:r>
          </w:p>
        </w:tc>
      </w:tr>
      <w:tr w14:paraId="76613E42">
        <w:tblPrEx>
          <w:tblCellMar>
            <w:top w:w="0" w:type="dxa"/>
            <w:left w:w="0" w:type="dxa"/>
            <w:bottom w:w="0" w:type="dxa"/>
            <w:right w:w="0" w:type="dxa"/>
          </w:tblCellMar>
        </w:tblPrEx>
        <w:trPr>
          <w:tblCellSpacing w:w="15" w:type="dxa"/>
        </w:trPr>
        <w:tc>
          <w:tcPr>
            <w:tcW w:w="1668" w:type="dxa"/>
            <w:tcBorders>
              <w:left w:val="single" w:color="auto" w:sz="6" w:space="0"/>
              <w:bottom w:val="single" w:color="auto" w:sz="6" w:space="0"/>
              <w:right w:val="single" w:color="auto" w:sz="6" w:space="0"/>
            </w:tcBorders>
            <w:shd w:val="clear" w:color="auto" w:fill="FFFFFF"/>
            <w:noWrap w:val="0"/>
            <w:tcMar>
              <w:top w:w="158" w:type="dxa"/>
              <w:left w:w="240" w:type="dxa"/>
              <w:bottom w:w="158" w:type="dxa"/>
              <w:right w:w="240" w:type="dxa"/>
            </w:tcMar>
            <w:vAlign w:val="center"/>
          </w:tcPr>
          <w:p w14:paraId="35500BF1">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b/>
                <w:bCs/>
                <w:sz w:val="24"/>
                <w:szCs w:val="24"/>
              </w:rPr>
              <w:t>患者</w:t>
            </w:r>
            <w:r>
              <w:rPr>
                <w:rFonts w:hint="eastAsia" w:ascii="仿宋" w:hAnsi="仿宋" w:eastAsia="仿宋" w:cs="仿宋"/>
                <w:sz w:val="24"/>
                <w:szCs w:val="24"/>
              </w:rPr>
              <w:t>‌</w:t>
            </w:r>
          </w:p>
        </w:tc>
        <w:tc>
          <w:tcPr>
            <w:tcW w:w="2927" w:type="dxa"/>
            <w:tcBorders>
              <w:bottom w:val="single" w:color="auto" w:sz="6" w:space="0"/>
              <w:right w:val="single" w:color="auto" w:sz="6" w:space="0"/>
            </w:tcBorders>
            <w:shd w:val="clear" w:color="auto" w:fill="FFFFFF"/>
            <w:noWrap w:val="0"/>
            <w:tcMar>
              <w:top w:w="158" w:type="dxa"/>
              <w:left w:w="240" w:type="dxa"/>
              <w:bottom w:w="158" w:type="dxa"/>
              <w:right w:w="240" w:type="dxa"/>
            </w:tcMar>
            <w:vAlign w:val="center"/>
          </w:tcPr>
          <w:p w14:paraId="14E63809">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保障基金安全、服务透明</w:t>
            </w:r>
          </w:p>
        </w:tc>
        <w:tc>
          <w:tcPr>
            <w:tcW w:w="3874" w:type="dxa"/>
            <w:tcBorders>
              <w:bottom w:val="single" w:color="auto" w:sz="6" w:space="0"/>
              <w:right w:val="single" w:color="auto" w:sz="6" w:space="0"/>
            </w:tcBorders>
            <w:shd w:val="clear" w:color="auto" w:fill="FFFFFF"/>
            <w:noWrap w:val="0"/>
            <w:tcMar>
              <w:top w:w="158" w:type="dxa"/>
              <w:left w:w="240" w:type="dxa"/>
              <w:bottom w:w="158" w:type="dxa"/>
              <w:right w:w="240" w:type="dxa"/>
            </w:tcMar>
            <w:vAlign w:val="center"/>
          </w:tcPr>
          <w:p w14:paraId="3E6545E6">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查询诊疗记录真实性，监督违规行为</w:t>
            </w:r>
          </w:p>
        </w:tc>
      </w:tr>
    </w:tbl>
    <w:p w14:paraId="05A2B8C0">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医保智能监管系统的需求是多维度的，既需要满足政策监管要求，又要解决行业痛点，同时兼顾各相关方的实际需求。随着2025年智能监管改革试点的推进，这些需求点将推动医保监管向更智能化、精准化的方向发展。</w:t>
      </w:r>
    </w:p>
    <w:p w14:paraId="1FD23389">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sz w:val="24"/>
          <w:szCs w:val="24"/>
        </w:rPr>
      </w:pPr>
      <w:bookmarkStart w:id="39" w:name="_Toc451608610"/>
      <w:bookmarkStart w:id="40" w:name="_Toc445917450"/>
      <w:bookmarkStart w:id="41" w:name="_Toc411702979"/>
      <w:bookmarkStart w:id="42" w:name="_Toc402190125"/>
      <w:bookmarkStart w:id="43" w:name="_Toc384167285"/>
      <w:bookmarkStart w:id="44" w:name="_Toc393812083"/>
      <w:r>
        <w:rPr>
          <w:rFonts w:hint="eastAsia" w:ascii="仿宋" w:hAnsi="仿宋" w:eastAsia="仿宋" w:cs="仿宋"/>
          <w:b/>
          <w:sz w:val="24"/>
          <w:szCs w:val="24"/>
        </w:rPr>
        <w:t>第三：医保电子处方流转对接的业务需求</w:t>
      </w:r>
      <w:bookmarkEnd w:id="39"/>
      <w:bookmarkEnd w:id="40"/>
    </w:p>
    <w:p w14:paraId="66436C81">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bookmarkStart w:id="45" w:name="_Toc445917451"/>
      <w:bookmarkStart w:id="46" w:name="_Toc451608611"/>
      <w:r>
        <w:rPr>
          <w:rFonts w:hint="eastAsia" w:ascii="仿宋" w:hAnsi="仿宋" w:eastAsia="仿宋" w:cs="仿宋"/>
          <w:sz w:val="24"/>
          <w:szCs w:val="24"/>
        </w:rPr>
        <w:t>医保电子处方流转系统是医疗信息化建设的重要组成部分，其需求点主要来源于政策要求、行业痛点以及各相关方的实际需求。以下从多个维度详细分析医保电子处方流转的核心需求点：</w:t>
      </w:r>
    </w:p>
    <w:p w14:paraId="76E361AD">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一、政策与监管需求</w:t>
      </w:r>
    </w:p>
    <w:p w14:paraId="6F7ECD41">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规范医保药品外配处方管理‌：国家医保局2024年10月发布《关于规范医保药品外配处方管理的通知》，要求自2025年1月1日起，所有"双通道"药品处方必须通过电子处方中心流转，取代纸质处方，旨在解决传统纸质处方易伪造、难追溯的问题。</w:t>
      </w:r>
    </w:p>
    <w:p w14:paraId="651D7760">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‌医保基金安全监管‌：电子处方具有全程留痕、可追溯的特征，能有效防止虚假处方和违规售药行为，保障医保基金合理使用。医保部门需要通过电子处方实现全流程闭环管理。</w:t>
      </w:r>
    </w:p>
    <w:p w14:paraId="69FC03D9">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‌全国统一信息平台建设‌：各地需依托全国统一的医保信息平台建设电子处方中心，实现处方信息统一归集、医保结算等事项“一网通办”，增强医药服务可及性。</w:t>
      </w:r>
    </w:p>
    <w:p w14:paraId="4AD47891">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二、行业痛点解决需求</w:t>
      </w:r>
    </w:p>
    <w:p w14:paraId="1A1CA09B">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‌破解"医院不愿放行"难题‌：医疗机构因系统对接、数据维护等额外成本缺乏流转动力，电子处方流转需要建立与之匹配的政策激励机制。</w:t>
      </w:r>
    </w:p>
    <w:p w14:paraId="0D533C03">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‌降低药店接入成本‌：中小药店面临平台服务费、系统升级等成本压力，需要简化对接流程并提供技术支撑，如贵池区医保局通过建立沟通协调机制推动系统优化。</w:t>
      </w:r>
    </w:p>
    <w:p w14:paraId="79E2BF35">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‌提升老年群体使用便利性‌：针对部分老年人操作智能设备的困难，系统需支持将电子处方打印成纸质处方，并提供人脸识别等简化验证方式。</w:t>
      </w:r>
    </w:p>
    <w:p w14:paraId="40A9C475">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三、各相关方核心需求</w:t>
      </w:r>
    </w:p>
    <w:p w14:paraId="4A709DF1">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患者需求：用药可及性‌：当医院未配备所需药品时，能通过外配处方在药店购药；购药便利性‌：可基于药品价格、距离等条件选择药店，部分支持线上配送；价格透明‌：通过比价功能获取药品价格信息，做出最优选择。</w:t>
      </w:r>
    </w:p>
    <w:p w14:paraId="3C4A40C9">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医生需求：简化开方流程‌：系统自动匹配药品通用名，减少匹配错误；确保处方安全‌：通过电子签名和数字证书防止处方伪造；合理用药监测‌：需要系统支持合理用药监测功能。</w:t>
      </w:r>
    </w:p>
    <w:p w14:paraId="76D2FBD9">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药店需求：稳定处方来源‌：通过电子处方中心获得合规处方来源；便捷系统对接‌：需要标准化接口和统一结算单位；医保结算顺畅‌：确保电子处方能顺利实现医保结算。</w:t>
      </w:r>
    </w:p>
    <w:p w14:paraId="0C28FA11">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医保部门需求：数据共享与监管‌：需要实时查看开方全流程记录及监控预警；基金安全‌：通过药品追溯码确保调剂药品可追溯；服务可及性‌：提升参保群众就医购药体验。</w:t>
      </w:r>
    </w:p>
    <w:p w14:paraId="5F6765E9">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四、便民服务扩展需求</w:t>
      </w:r>
    </w:p>
    <w:p w14:paraId="59FEA44B">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‌双通道机制‌：覆盖高价药品，患者可在医院或药店购药，享受相同报销政策。</w:t>
      </w:r>
    </w:p>
    <w:p w14:paraId="6AABC03B">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‌线上问诊购药‌：支持常见病、慢性病复诊问诊、购药和医保报销“一站式”服务。</w:t>
      </w:r>
    </w:p>
    <w:p w14:paraId="44FDD487">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‌特殊群体服务‌：为不便到店购药的参保人提供药品配送服务。</w:t>
      </w:r>
    </w:p>
    <w:p w14:paraId="665139A3">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医保电子处方流转系统的建设需求是多维度的，既需要满足政策监管要求，又要解决行业痛点，同时兼顾各相关方的实际需求。随着2025年全国“双通道”药店全面接入电子处方中心，这些需求点将推动医疗服务的数字化转型和医保管理的精细化发展。</w:t>
      </w:r>
    </w:p>
    <w:bookmarkEnd w:id="41"/>
    <w:bookmarkEnd w:id="42"/>
    <w:bookmarkEnd w:id="43"/>
    <w:bookmarkEnd w:id="44"/>
    <w:bookmarkEnd w:id="45"/>
    <w:bookmarkEnd w:id="46"/>
    <w:p w14:paraId="2CC0B8D4">
      <w:pPr>
        <w:pStyle w:val="4"/>
        <w:kinsoku/>
        <w:wordWrap/>
        <w:overflowPunct/>
        <w:topLinePunct w:val="0"/>
        <w:autoSpaceDE/>
        <w:autoSpaceDN/>
        <w:bidi w:val="0"/>
        <w:adjustRightInd/>
        <w:snapToGrid/>
        <w:spacing w:before="0" w:beforeLines="0" w:after="0" w:afterLines="0" w:line="440" w:lineRule="exact"/>
        <w:ind w:firstLine="480" w:firstLineChars="200"/>
        <w:jc w:val="both"/>
        <w:textAlignment w:val="auto"/>
        <w:rPr>
          <w:rFonts w:hint="eastAsia" w:ascii="仿宋" w:hAnsi="仿宋" w:eastAsia="仿宋" w:cs="仿宋"/>
          <w:b/>
          <w:bCs/>
          <w:sz w:val="24"/>
          <w:szCs w:val="24"/>
        </w:rPr>
      </w:pPr>
      <w:bookmarkStart w:id="47" w:name="_Toc208416091"/>
      <w:r>
        <w:rPr>
          <w:rFonts w:hint="eastAsia" w:ascii="仿宋" w:hAnsi="仿宋" w:eastAsia="仿宋" w:cs="仿宋"/>
          <w:b/>
          <w:bCs/>
          <w:sz w:val="24"/>
          <w:szCs w:val="24"/>
        </w:rPr>
        <w:t>1.3.6 总体建设与本期建设任务</w:t>
      </w:r>
      <w:bookmarkEnd w:id="47"/>
    </w:p>
    <w:p w14:paraId="358B0013">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本项目为接口对接项目，相对较为简单。建设计划周期计划为2个月，实施工程师进场后，实施基础业务系统：需求分析、接口开发、基础HIS流程完善、临床诊疗流程完善、护理信息系统完善、临床管理完善、结算系统完善等。</w:t>
      </w:r>
    </w:p>
    <w:p w14:paraId="3A528FF2">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项目建设完成后，整体达到市医保局对医保移动支付系统对接，医保智能监管系统对接，医保电子处方流转系统对接相关功能的要求。</w:t>
      </w:r>
      <w:bookmarkStart w:id="48" w:name="_Toc208416093"/>
    </w:p>
    <w:p w14:paraId="0D858ED2">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p>
    <w:p w14:paraId="5B565408">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第二章 业务需求分析</w:t>
      </w:r>
      <w:bookmarkEnd w:id="48"/>
    </w:p>
    <w:p w14:paraId="5B49296D">
      <w:pPr>
        <w:pStyle w:val="3"/>
        <w:kinsoku/>
        <w:wordWrap/>
        <w:overflowPunct/>
        <w:topLinePunct w:val="0"/>
        <w:autoSpaceDE/>
        <w:autoSpaceDN/>
        <w:bidi w:val="0"/>
        <w:adjustRightInd/>
        <w:snapToGrid/>
        <w:spacing w:before="0" w:beforeLines="0" w:after="0" w:afterLines="0" w:line="440" w:lineRule="exact"/>
        <w:ind w:firstLine="480" w:firstLineChars="200"/>
        <w:jc w:val="both"/>
        <w:textAlignment w:val="auto"/>
        <w:rPr>
          <w:rFonts w:hint="eastAsia" w:ascii="仿宋" w:hAnsi="仿宋" w:eastAsia="仿宋" w:cs="仿宋"/>
          <w:b/>
          <w:bCs/>
          <w:sz w:val="24"/>
          <w:szCs w:val="24"/>
        </w:rPr>
      </w:pPr>
      <w:bookmarkStart w:id="49" w:name="_Toc208416094"/>
      <w:r>
        <w:rPr>
          <w:rFonts w:hint="eastAsia" w:ascii="仿宋" w:hAnsi="仿宋" w:eastAsia="仿宋" w:cs="仿宋"/>
          <w:b/>
          <w:bCs/>
          <w:sz w:val="24"/>
          <w:szCs w:val="24"/>
        </w:rPr>
        <w:t>2.1业务功能、业务流程和业务量分析</w:t>
      </w:r>
      <w:bookmarkEnd w:id="49"/>
    </w:p>
    <w:p w14:paraId="471FC736">
      <w:pPr>
        <w:pStyle w:val="4"/>
        <w:kinsoku/>
        <w:wordWrap/>
        <w:overflowPunct/>
        <w:topLinePunct w:val="0"/>
        <w:autoSpaceDE/>
        <w:autoSpaceDN/>
        <w:bidi w:val="0"/>
        <w:adjustRightInd/>
        <w:snapToGrid/>
        <w:spacing w:before="0" w:beforeLines="0" w:after="0" w:afterLines="0" w:line="440" w:lineRule="exact"/>
        <w:ind w:firstLine="480" w:firstLineChars="200"/>
        <w:jc w:val="both"/>
        <w:textAlignment w:val="auto"/>
        <w:rPr>
          <w:rFonts w:hint="eastAsia" w:ascii="仿宋" w:hAnsi="仿宋" w:eastAsia="仿宋" w:cs="仿宋"/>
          <w:b/>
          <w:bCs/>
          <w:sz w:val="24"/>
          <w:szCs w:val="24"/>
        </w:rPr>
      </w:pPr>
      <w:bookmarkStart w:id="50" w:name="_Toc208416095"/>
      <w:r>
        <w:rPr>
          <w:rFonts w:hint="eastAsia" w:ascii="仿宋" w:hAnsi="仿宋" w:eastAsia="仿宋" w:cs="仿宋"/>
          <w:b/>
          <w:bCs/>
          <w:sz w:val="24"/>
          <w:szCs w:val="24"/>
        </w:rPr>
        <w:t>2.1.2业务功能分析</w:t>
      </w:r>
      <w:bookmarkEnd w:id="50"/>
    </w:p>
    <w:p w14:paraId="279424FA">
      <w:pPr>
        <w:pStyle w:val="42"/>
        <w:kinsoku/>
        <w:wordWrap/>
        <w:overflowPunct/>
        <w:topLinePunct w:val="0"/>
        <w:autoSpaceDE/>
        <w:autoSpaceDN/>
        <w:bidi w:val="0"/>
        <w:adjustRightInd/>
        <w:snapToGrid/>
        <w:spacing w:beforeLines="0" w:afterLines="0" w:line="440" w:lineRule="exact"/>
        <w:ind w:firstLine="480" w:firstLineChars="200"/>
        <w:jc w:val="both"/>
        <w:textAlignment w:val="auto"/>
        <w:outlineLvl w:val="2"/>
        <w:rPr>
          <w:rFonts w:hint="eastAsia" w:ascii="仿宋" w:hAnsi="仿宋" w:eastAsia="仿宋" w:cs="仿宋"/>
          <w:b/>
          <w:bCs/>
          <w:sz w:val="24"/>
          <w:szCs w:val="24"/>
        </w:rPr>
      </w:pPr>
      <w:bookmarkStart w:id="51" w:name="_Toc129885535"/>
      <w:bookmarkStart w:id="52" w:name="_Toc208416096"/>
      <w:r>
        <w:rPr>
          <w:rFonts w:hint="eastAsia" w:ascii="仿宋" w:hAnsi="仿宋" w:eastAsia="仿宋" w:cs="仿宋"/>
          <w:b/>
          <w:bCs/>
          <w:sz w:val="24"/>
          <w:szCs w:val="24"/>
        </w:rPr>
        <w:t>2.1.2.1</w:t>
      </w:r>
      <w:bookmarkEnd w:id="51"/>
      <w:r>
        <w:rPr>
          <w:rFonts w:hint="eastAsia" w:ascii="仿宋" w:hAnsi="仿宋" w:eastAsia="仿宋" w:cs="仿宋"/>
          <w:b/>
          <w:bCs/>
          <w:sz w:val="24"/>
          <w:szCs w:val="24"/>
        </w:rPr>
        <w:t>医保移动支付系统对接</w:t>
      </w:r>
      <w:bookmarkEnd w:id="52"/>
    </w:p>
    <w:p w14:paraId="79B1BDDF">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医保移动支付系统对接后，利用医保系统相关平台，须实现以下功能：</w:t>
      </w:r>
    </w:p>
    <w:p w14:paraId="79B142A4">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（1）电子医保凭证激活与使用‌</w:t>
      </w:r>
    </w:p>
    <w:p w14:paraId="7CF9185F">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通过微信或支付宝激活医保电子凭证，生成二维码用于医院挂号、治疗等场景的医保结算‌。首次使用需人脸认证激活，后续可直接出示电子凭证完成支付‌。</w:t>
      </w:r>
    </w:p>
    <w:p w14:paraId="3F101597">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（2）实时费用结算与报销‌</w:t>
      </w:r>
    </w:p>
    <w:p w14:paraId="4AC99121">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支持直接通过手机完成医保费用结算，包括挂号费、检查费、药费等，系统自动计算医保统筹部分和个人支付部分‌。</w:t>
      </w:r>
    </w:p>
    <w:p w14:paraId="44C24ECF">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（3）消费明细查询‌</w:t>
      </w:r>
    </w:p>
    <w:p w14:paraId="7F416B2F">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电子医保账户会记录所有交易明细，如检查项目、费用金额、医保报销比例等，用户可随时查看历史消费记录‌。</w:t>
      </w:r>
    </w:p>
    <w:p w14:paraId="4D810F1F">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（4）无卡支付支持‌</w:t>
      </w:r>
    </w:p>
    <w:p w14:paraId="4131E1C3">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未携带实体医保卡时，可通过电子凭证实现医保报销，避免全额自费‌。部分医院需先办理诊疗卡，但电子医保可替代实体卡完成医保部分支付‌。</w:t>
      </w:r>
    </w:p>
    <w:p w14:paraId="48DE2B0C">
      <w:pPr>
        <w:pStyle w:val="42"/>
        <w:kinsoku/>
        <w:wordWrap/>
        <w:overflowPunct/>
        <w:topLinePunct w:val="0"/>
        <w:autoSpaceDE/>
        <w:autoSpaceDN/>
        <w:bidi w:val="0"/>
        <w:adjustRightInd/>
        <w:snapToGrid/>
        <w:spacing w:beforeLines="0" w:afterLines="0" w:line="440" w:lineRule="exact"/>
        <w:ind w:firstLine="480" w:firstLineChars="200"/>
        <w:jc w:val="both"/>
        <w:textAlignment w:val="auto"/>
        <w:outlineLvl w:val="2"/>
        <w:rPr>
          <w:rFonts w:hint="eastAsia" w:ascii="仿宋" w:hAnsi="仿宋" w:eastAsia="仿宋" w:cs="仿宋"/>
          <w:b/>
          <w:bCs/>
          <w:sz w:val="24"/>
          <w:szCs w:val="24"/>
        </w:rPr>
      </w:pPr>
      <w:bookmarkStart w:id="53" w:name="_Toc129885538"/>
      <w:bookmarkStart w:id="54" w:name="_Toc208416097"/>
      <w:r>
        <w:rPr>
          <w:rFonts w:hint="eastAsia" w:ascii="仿宋" w:hAnsi="仿宋" w:eastAsia="仿宋" w:cs="仿宋"/>
          <w:b/>
          <w:bCs/>
          <w:sz w:val="24"/>
          <w:szCs w:val="24"/>
        </w:rPr>
        <w:t>2.1.2.2</w:t>
      </w:r>
      <w:bookmarkEnd w:id="53"/>
      <w:r>
        <w:rPr>
          <w:rFonts w:hint="eastAsia" w:ascii="仿宋" w:hAnsi="仿宋" w:eastAsia="仿宋" w:cs="仿宋"/>
          <w:b/>
          <w:bCs/>
          <w:sz w:val="24"/>
          <w:szCs w:val="24"/>
        </w:rPr>
        <w:t>医保智能监管系统对接</w:t>
      </w:r>
      <w:bookmarkEnd w:id="54"/>
    </w:p>
    <w:p w14:paraId="505A817E">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医保智能监管系统对接后，利用医保系统相关平台，须实现以下功能：</w:t>
      </w:r>
    </w:p>
    <w:p w14:paraId="464A58D5">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‌（1）实时监控与预警‌</w:t>
      </w:r>
    </w:p>
    <w:p w14:paraId="45673182">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通过事前事中监控模块对诊疗行为进行实时跟踪，对异常单据（如重复收费、高套编码等）触发预警‌。基于统一医保信息平台的海量数据，实现高速性和实时性分析‌。</w:t>
      </w:r>
    </w:p>
    <w:p w14:paraId="00302C71">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‌（2）智能审核与分析‌</w:t>
      </w:r>
    </w:p>
    <w:p w14:paraId="22DD8FB4">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利用“两库”（知识库、规则库）自动识别违法违规行为，通过医保平台的智能子系统挽回损失医保损失。对住院病历等复杂数据进行聚类分析和降维处理，突破传统人工核查效率瓶颈‌。</w:t>
      </w:r>
    </w:p>
    <w:p w14:paraId="233B4322">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‌（3）全流程闭环管理‌</w:t>
      </w:r>
    </w:p>
    <w:p w14:paraId="7391F4C8">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覆盖基金收支、流向、使用的全链条监管，支持自适应发现问题→快速预警→责任追溯的闭环‌。通过系统联动实现反馈常规问题、重大问题快速响应的分级处置机制‌。</w:t>
      </w:r>
    </w:p>
    <w:p w14:paraId="6B77C4E0">
      <w:pPr>
        <w:pStyle w:val="42"/>
        <w:kinsoku/>
        <w:wordWrap/>
        <w:overflowPunct/>
        <w:topLinePunct w:val="0"/>
        <w:autoSpaceDE/>
        <w:autoSpaceDN/>
        <w:bidi w:val="0"/>
        <w:adjustRightInd/>
        <w:snapToGrid/>
        <w:spacing w:beforeLines="0" w:afterLines="0" w:line="440" w:lineRule="exact"/>
        <w:ind w:firstLine="480" w:firstLineChars="200"/>
        <w:jc w:val="both"/>
        <w:textAlignment w:val="auto"/>
        <w:outlineLvl w:val="2"/>
        <w:rPr>
          <w:rFonts w:hint="eastAsia" w:ascii="仿宋" w:hAnsi="仿宋" w:eastAsia="仿宋" w:cs="仿宋"/>
          <w:b/>
          <w:bCs/>
          <w:sz w:val="24"/>
          <w:szCs w:val="24"/>
        </w:rPr>
      </w:pPr>
      <w:bookmarkStart w:id="55" w:name="_Toc129885540"/>
      <w:bookmarkStart w:id="56" w:name="_Toc208416098"/>
      <w:r>
        <w:rPr>
          <w:rFonts w:hint="eastAsia" w:ascii="仿宋" w:hAnsi="仿宋" w:eastAsia="仿宋" w:cs="仿宋"/>
          <w:b/>
          <w:bCs/>
          <w:sz w:val="24"/>
          <w:szCs w:val="24"/>
        </w:rPr>
        <w:t>2.1.2.3</w:t>
      </w:r>
      <w:bookmarkEnd w:id="55"/>
      <w:r>
        <w:rPr>
          <w:rFonts w:hint="eastAsia" w:ascii="仿宋" w:hAnsi="仿宋" w:eastAsia="仿宋" w:cs="仿宋"/>
          <w:b/>
          <w:bCs/>
          <w:sz w:val="24"/>
          <w:szCs w:val="24"/>
        </w:rPr>
        <w:t>医保电子处方流转系统对接</w:t>
      </w:r>
      <w:bookmarkEnd w:id="56"/>
    </w:p>
    <w:p w14:paraId="31129313">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bookmarkStart w:id="57" w:name="_Toc32850541"/>
      <w:r>
        <w:rPr>
          <w:rFonts w:hint="eastAsia" w:ascii="仿宋" w:hAnsi="仿宋" w:eastAsia="仿宋" w:cs="仿宋"/>
          <w:sz w:val="24"/>
          <w:szCs w:val="24"/>
        </w:rPr>
        <w:t>医保电子处方流转系统对接后，利用医保系统相关平台，须实现以下功能：</w:t>
      </w:r>
    </w:p>
    <w:p w14:paraId="37C1F42D">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‌（1）处方开具与上传‌</w:t>
      </w:r>
    </w:p>
    <w:p w14:paraId="08B4F7A7">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医生根据患者需求开具电子处方，系统自动匹配药品通用名，减少匹配错误‌。</w:t>
      </w:r>
    </w:p>
    <w:p w14:paraId="1606330D">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处方经医生、药师签名及医疗机构数字签名后上传至医保电子处方中心‌。</w:t>
      </w:r>
    </w:p>
    <w:p w14:paraId="1A04FC7D">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‌（2）处方查询与药店选择‌</w:t>
      </w:r>
    </w:p>
    <w:p w14:paraId="3382D217">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患者通过医保APP可查询处方，可基于药品价格、距离等条件选择定点药店‌。</w:t>
      </w:r>
    </w:p>
    <w:p w14:paraId="0A7FC504">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（3）‌医保结算与取药‌</w:t>
      </w:r>
    </w:p>
    <w:p w14:paraId="70D20A10">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患者到店后通过医保码或社保卡核验身份，授权下载电子处方，由执业药师审核并调配药品‌。</w:t>
      </w:r>
    </w:p>
    <w:p w14:paraId="2C51F9F4">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支持普通门诊、特病门诊的医保统筹结算，报销政策与医院一致‌。</w:t>
      </w:r>
      <w:bookmarkEnd w:id="57"/>
    </w:p>
    <w:p w14:paraId="217B15C1">
      <w:pPr>
        <w:pStyle w:val="4"/>
        <w:kinsoku/>
        <w:wordWrap/>
        <w:overflowPunct/>
        <w:topLinePunct w:val="0"/>
        <w:autoSpaceDE/>
        <w:autoSpaceDN/>
        <w:bidi w:val="0"/>
        <w:adjustRightInd/>
        <w:snapToGrid/>
        <w:spacing w:before="0" w:beforeLines="0" w:after="0" w:afterLines="0" w:line="440" w:lineRule="exact"/>
        <w:ind w:firstLine="480" w:firstLineChars="200"/>
        <w:jc w:val="both"/>
        <w:textAlignment w:val="auto"/>
        <w:rPr>
          <w:rFonts w:hint="eastAsia" w:ascii="仿宋" w:hAnsi="仿宋" w:eastAsia="仿宋" w:cs="仿宋"/>
          <w:b/>
          <w:bCs/>
          <w:sz w:val="24"/>
          <w:szCs w:val="24"/>
        </w:rPr>
      </w:pPr>
      <w:bookmarkStart w:id="58" w:name="_Toc451634307"/>
      <w:bookmarkStart w:id="59" w:name="_Toc208416099"/>
      <w:bookmarkStart w:id="60" w:name="_Toc37496482"/>
      <w:r>
        <w:rPr>
          <w:rFonts w:hint="eastAsia" w:ascii="仿宋" w:hAnsi="仿宋" w:eastAsia="仿宋" w:cs="仿宋"/>
          <w:b/>
          <w:bCs/>
          <w:sz w:val="24"/>
          <w:szCs w:val="24"/>
        </w:rPr>
        <w:t>2.1.3业务流程设计</w:t>
      </w:r>
      <w:bookmarkEnd w:id="58"/>
      <w:bookmarkEnd w:id="59"/>
      <w:bookmarkEnd w:id="60"/>
    </w:p>
    <w:p w14:paraId="1719E7F9">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第一：医保移动支付系统对接流程设计</w:t>
      </w:r>
    </w:p>
    <w:p w14:paraId="1D7E2814">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医保移动支付是“互联网+医保”服务的重要组成部分，其流程设计需要兼顾便捷性、安全性和合规性。医保移动支付系统的对接全流程设计如下：</w:t>
      </w:r>
    </w:p>
    <w:p w14:paraId="279ABEBB">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身份核验接口对接</w:t>
      </w:r>
    </w:p>
    <w:tbl>
      <w:tblPr>
        <w:tblStyle w:val="17"/>
        <w:tblW w:w="0" w:type="auto"/>
        <w:tblCellSpacing w:w="15" w:type="dxa"/>
        <w:tblInd w:w="293" w:type="dxa"/>
        <w:shd w:val="clear" w:color="auto" w:fill="FFFFFF"/>
        <w:tblLayout w:type="autofit"/>
        <w:tblCellMar>
          <w:top w:w="0" w:type="dxa"/>
          <w:left w:w="0" w:type="dxa"/>
          <w:bottom w:w="0" w:type="dxa"/>
          <w:right w:w="0" w:type="dxa"/>
        </w:tblCellMar>
      </w:tblPr>
      <w:tblGrid>
        <w:gridCol w:w="1011"/>
        <w:gridCol w:w="4935"/>
        <w:gridCol w:w="2643"/>
      </w:tblGrid>
      <w:tr w14:paraId="25F80C4E">
        <w:tblPrEx>
          <w:shd w:val="clear" w:color="auto" w:fill="FFFFFF"/>
          <w:tblCellMar>
            <w:top w:w="0" w:type="dxa"/>
            <w:left w:w="0" w:type="dxa"/>
            <w:bottom w:w="0" w:type="dxa"/>
            <w:right w:w="0" w:type="dxa"/>
          </w:tblCellMar>
        </w:tblPrEx>
        <w:trPr>
          <w:tblHeader/>
          <w:tblCellSpacing w:w="15" w:type="dxa"/>
        </w:trPr>
        <w:tc>
          <w:tcPr>
            <w:tcW w:w="940" w:type="dxa"/>
            <w:tcBorders>
              <w:top w:val="single" w:color="auto" w:sz="6" w:space="0"/>
              <w:left w:val="single" w:color="auto" w:sz="6" w:space="0"/>
              <w:bottom w:val="single" w:color="auto" w:sz="6" w:space="0"/>
              <w:right w:val="single" w:color="auto" w:sz="6" w:space="0"/>
            </w:tcBorders>
            <w:shd w:val="clear" w:color="auto" w:fill="FFFFFF"/>
            <w:noWrap/>
            <w:tcMar>
              <w:top w:w="158" w:type="dxa"/>
              <w:left w:w="240" w:type="dxa"/>
              <w:bottom w:w="113" w:type="dxa"/>
              <w:right w:w="240" w:type="dxa"/>
            </w:tcMar>
            <w:vAlign w:val="center"/>
          </w:tcPr>
          <w:p w14:paraId="18BD618F">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步骤</w:t>
            </w:r>
          </w:p>
        </w:tc>
        <w:tc>
          <w:tcPr>
            <w:tcW w:w="4928" w:type="dxa"/>
            <w:tcBorders>
              <w:top w:val="single" w:color="auto" w:sz="6" w:space="0"/>
              <w:bottom w:val="single" w:color="auto" w:sz="6" w:space="0"/>
              <w:right w:val="single" w:color="auto" w:sz="6" w:space="0"/>
            </w:tcBorders>
            <w:shd w:val="clear" w:color="auto" w:fill="FFFFFF"/>
            <w:noWrap/>
            <w:tcMar>
              <w:top w:w="158" w:type="dxa"/>
              <w:left w:w="240" w:type="dxa"/>
              <w:bottom w:w="113" w:type="dxa"/>
              <w:right w:w="240" w:type="dxa"/>
            </w:tcMar>
            <w:vAlign w:val="center"/>
          </w:tcPr>
          <w:p w14:paraId="0F3F14E8">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操作内容</w:t>
            </w:r>
          </w:p>
        </w:tc>
        <w:tc>
          <w:tcPr>
            <w:tcW w:w="2601" w:type="dxa"/>
            <w:tcBorders>
              <w:top w:val="single" w:color="auto" w:sz="6" w:space="0"/>
              <w:bottom w:val="single" w:color="auto" w:sz="6" w:space="0"/>
              <w:right w:val="single" w:color="auto" w:sz="6" w:space="0"/>
            </w:tcBorders>
            <w:shd w:val="clear" w:color="auto" w:fill="FFFFFF"/>
            <w:noWrap/>
            <w:tcMar>
              <w:top w:w="158" w:type="dxa"/>
              <w:left w:w="240" w:type="dxa"/>
              <w:bottom w:w="113" w:type="dxa"/>
              <w:right w:w="240" w:type="dxa"/>
            </w:tcMar>
            <w:vAlign w:val="center"/>
          </w:tcPr>
          <w:p w14:paraId="74102B89">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技术实现</w:t>
            </w:r>
          </w:p>
        </w:tc>
      </w:tr>
      <w:tr w14:paraId="74F61EDC">
        <w:tblPrEx>
          <w:shd w:val="clear" w:color="auto" w:fill="FFFFFF"/>
          <w:tblCellMar>
            <w:top w:w="0" w:type="dxa"/>
            <w:left w:w="0" w:type="dxa"/>
            <w:bottom w:w="0" w:type="dxa"/>
            <w:right w:w="0" w:type="dxa"/>
          </w:tblCellMar>
        </w:tblPrEx>
        <w:trPr>
          <w:tblCellSpacing w:w="15" w:type="dxa"/>
        </w:trPr>
        <w:tc>
          <w:tcPr>
            <w:tcW w:w="940" w:type="dxa"/>
            <w:tcBorders>
              <w:left w:val="single" w:color="auto" w:sz="6" w:space="0"/>
              <w:bottom w:val="single" w:color="auto" w:sz="6" w:space="0"/>
              <w:right w:val="single" w:color="auto" w:sz="6" w:space="0"/>
            </w:tcBorders>
            <w:shd w:val="clear" w:color="auto" w:fill="FFFFFF"/>
            <w:noWrap w:val="0"/>
            <w:tcMar>
              <w:top w:w="158" w:type="dxa"/>
              <w:left w:w="240" w:type="dxa"/>
              <w:bottom w:w="158" w:type="dxa"/>
              <w:right w:w="240" w:type="dxa"/>
            </w:tcMar>
            <w:vAlign w:val="center"/>
          </w:tcPr>
          <w:p w14:paraId="28009C8F">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4928" w:type="dxa"/>
            <w:tcBorders>
              <w:bottom w:val="single" w:color="auto" w:sz="6" w:space="0"/>
              <w:right w:val="single" w:color="auto" w:sz="6" w:space="0"/>
            </w:tcBorders>
            <w:shd w:val="clear" w:color="auto" w:fill="FFFFFF"/>
            <w:noWrap w:val="0"/>
            <w:tcMar>
              <w:top w:w="158" w:type="dxa"/>
              <w:left w:w="240" w:type="dxa"/>
              <w:bottom w:w="158" w:type="dxa"/>
              <w:right w:w="240" w:type="dxa"/>
            </w:tcMar>
            <w:vAlign w:val="center"/>
          </w:tcPr>
          <w:p w14:paraId="3114FF78">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读取患者社保卡/医保电子凭证/身份证信息</w:t>
            </w:r>
          </w:p>
        </w:tc>
        <w:tc>
          <w:tcPr>
            <w:tcW w:w="2601" w:type="dxa"/>
            <w:tcBorders>
              <w:bottom w:val="single" w:color="auto" w:sz="6" w:space="0"/>
              <w:right w:val="single" w:color="auto" w:sz="6" w:space="0"/>
            </w:tcBorders>
            <w:shd w:val="clear" w:color="auto" w:fill="FFFFFF"/>
            <w:noWrap w:val="0"/>
            <w:tcMar>
              <w:top w:w="158" w:type="dxa"/>
              <w:left w:w="240" w:type="dxa"/>
              <w:bottom w:w="158" w:type="dxa"/>
              <w:right w:w="240" w:type="dxa"/>
            </w:tcMar>
            <w:vAlign w:val="center"/>
          </w:tcPr>
          <w:p w14:paraId="5C4DF637">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医保专用读卡设备</w:t>
            </w:r>
          </w:p>
        </w:tc>
      </w:tr>
      <w:tr w14:paraId="2D494D24">
        <w:tblPrEx>
          <w:shd w:val="clear" w:color="auto" w:fill="FFFFFF"/>
          <w:tblCellMar>
            <w:top w:w="0" w:type="dxa"/>
            <w:left w:w="0" w:type="dxa"/>
            <w:bottom w:w="0" w:type="dxa"/>
            <w:right w:w="0" w:type="dxa"/>
          </w:tblCellMar>
        </w:tblPrEx>
        <w:trPr>
          <w:tblCellSpacing w:w="15" w:type="dxa"/>
        </w:trPr>
        <w:tc>
          <w:tcPr>
            <w:tcW w:w="940" w:type="dxa"/>
            <w:tcBorders>
              <w:left w:val="single" w:color="auto" w:sz="6" w:space="0"/>
              <w:bottom w:val="single" w:color="auto" w:sz="6" w:space="0"/>
              <w:right w:val="single" w:color="auto" w:sz="6" w:space="0"/>
            </w:tcBorders>
            <w:shd w:val="clear" w:color="auto" w:fill="FFFFFF"/>
            <w:noWrap w:val="0"/>
            <w:tcMar>
              <w:top w:w="158" w:type="dxa"/>
              <w:left w:w="240" w:type="dxa"/>
              <w:bottom w:w="158" w:type="dxa"/>
              <w:right w:w="240" w:type="dxa"/>
            </w:tcMar>
            <w:vAlign w:val="center"/>
          </w:tcPr>
          <w:p w14:paraId="434C0D06">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4928" w:type="dxa"/>
            <w:tcBorders>
              <w:bottom w:val="single" w:color="auto" w:sz="6" w:space="0"/>
              <w:right w:val="single" w:color="auto" w:sz="6" w:space="0"/>
            </w:tcBorders>
            <w:shd w:val="clear" w:color="auto" w:fill="FFFFFF"/>
            <w:noWrap w:val="0"/>
            <w:tcMar>
              <w:top w:w="158" w:type="dxa"/>
              <w:left w:w="240" w:type="dxa"/>
              <w:bottom w:w="158" w:type="dxa"/>
              <w:right w:w="240" w:type="dxa"/>
            </w:tcMar>
            <w:vAlign w:val="center"/>
          </w:tcPr>
          <w:p w14:paraId="45D65ACB">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加密传输患者身份信息至医保系统</w:t>
            </w:r>
          </w:p>
        </w:tc>
        <w:tc>
          <w:tcPr>
            <w:tcW w:w="2601" w:type="dxa"/>
            <w:tcBorders>
              <w:bottom w:val="single" w:color="auto" w:sz="6" w:space="0"/>
              <w:right w:val="single" w:color="auto" w:sz="6" w:space="0"/>
            </w:tcBorders>
            <w:shd w:val="clear" w:color="auto" w:fill="FFFFFF"/>
            <w:noWrap w:val="0"/>
            <w:tcMar>
              <w:top w:w="158" w:type="dxa"/>
              <w:left w:w="240" w:type="dxa"/>
              <w:bottom w:w="158" w:type="dxa"/>
              <w:right w:w="240" w:type="dxa"/>
            </w:tcMar>
            <w:vAlign w:val="center"/>
          </w:tcPr>
          <w:p w14:paraId="1F1317E1">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SM4国密算法</w:t>
            </w:r>
          </w:p>
        </w:tc>
      </w:tr>
      <w:tr w14:paraId="3A5FE511">
        <w:tblPrEx>
          <w:shd w:val="clear" w:color="auto" w:fill="FFFFFF"/>
          <w:tblCellMar>
            <w:top w:w="0" w:type="dxa"/>
            <w:left w:w="0" w:type="dxa"/>
            <w:bottom w:w="0" w:type="dxa"/>
            <w:right w:w="0" w:type="dxa"/>
          </w:tblCellMar>
        </w:tblPrEx>
        <w:trPr>
          <w:tblCellSpacing w:w="15" w:type="dxa"/>
        </w:trPr>
        <w:tc>
          <w:tcPr>
            <w:tcW w:w="940" w:type="dxa"/>
            <w:tcBorders>
              <w:left w:val="single" w:color="auto" w:sz="6" w:space="0"/>
              <w:bottom w:val="single" w:color="auto" w:sz="6" w:space="0"/>
              <w:right w:val="single" w:color="auto" w:sz="6" w:space="0"/>
            </w:tcBorders>
            <w:shd w:val="clear" w:color="auto" w:fill="FFFFFF"/>
            <w:noWrap w:val="0"/>
            <w:tcMar>
              <w:top w:w="158" w:type="dxa"/>
              <w:left w:w="240" w:type="dxa"/>
              <w:bottom w:w="158" w:type="dxa"/>
              <w:right w:w="240" w:type="dxa"/>
            </w:tcMar>
            <w:vAlign w:val="center"/>
          </w:tcPr>
          <w:p w14:paraId="5DC64C3D">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3</w:t>
            </w:r>
          </w:p>
        </w:tc>
        <w:tc>
          <w:tcPr>
            <w:tcW w:w="4928" w:type="dxa"/>
            <w:tcBorders>
              <w:bottom w:val="single" w:color="auto" w:sz="6" w:space="0"/>
              <w:right w:val="single" w:color="auto" w:sz="6" w:space="0"/>
            </w:tcBorders>
            <w:shd w:val="clear" w:color="auto" w:fill="FFFFFF"/>
            <w:noWrap w:val="0"/>
            <w:tcMar>
              <w:top w:w="158" w:type="dxa"/>
              <w:left w:w="240" w:type="dxa"/>
              <w:bottom w:w="158" w:type="dxa"/>
              <w:right w:w="240" w:type="dxa"/>
            </w:tcMar>
            <w:vAlign w:val="center"/>
          </w:tcPr>
          <w:p w14:paraId="0927EFBD">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医保系统返回核验结果(医保状态、参保类型等)</w:t>
            </w:r>
          </w:p>
        </w:tc>
        <w:tc>
          <w:tcPr>
            <w:tcW w:w="2601" w:type="dxa"/>
            <w:tcBorders>
              <w:bottom w:val="single" w:color="auto" w:sz="6" w:space="0"/>
              <w:right w:val="single" w:color="auto" w:sz="6" w:space="0"/>
            </w:tcBorders>
            <w:shd w:val="clear" w:color="auto" w:fill="FFFFFF"/>
            <w:noWrap w:val="0"/>
            <w:tcMar>
              <w:top w:w="158" w:type="dxa"/>
              <w:left w:w="240" w:type="dxa"/>
              <w:bottom w:w="158" w:type="dxa"/>
              <w:right w:w="240" w:type="dxa"/>
            </w:tcMar>
            <w:vAlign w:val="center"/>
          </w:tcPr>
          <w:p w14:paraId="6376853B">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RESTful API</w:t>
            </w:r>
          </w:p>
        </w:tc>
      </w:tr>
      <w:tr w14:paraId="463006EA">
        <w:tblPrEx>
          <w:shd w:val="clear" w:color="auto" w:fill="FFFFFF"/>
          <w:tblCellMar>
            <w:top w:w="0" w:type="dxa"/>
            <w:left w:w="0" w:type="dxa"/>
            <w:bottom w:w="0" w:type="dxa"/>
            <w:right w:w="0" w:type="dxa"/>
          </w:tblCellMar>
        </w:tblPrEx>
        <w:trPr>
          <w:tblCellSpacing w:w="15" w:type="dxa"/>
        </w:trPr>
        <w:tc>
          <w:tcPr>
            <w:tcW w:w="940" w:type="dxa"/>
            <w:tcBorders>
              <w:left w:val="single" w:color="auto" w:sz="6" w:space="0"/>
              <w:bottom w:val="single" w:color="auto" w:sz="6" w:space="0"/>
              <w:right w:val="single" w:color="auto" w:sz="6" w:space="0"/>
            </w:tcBorders>
            <w:shd w:val="clear" w:color="auto" w:fill="FFFFFF"/>
            <w:noWrap w:val="0"/>
            <w:tcMar>
              <w:top w:w="158" w:type="dxa"/>
              <w:left w:w="240" w:type="dxa"/>
              <w:bottom w:w="158" w:type="dxa"/>
              <w:right w:w="240" w:type="dxa"/>
            </w:tcMar>
            <w:vAlign w:val="center"/>
          </w:tcPr>
          <w:p w14:paraId="25E52438">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4</w:t>
            </w:r>
          </w:p>
        </w:tc>
        <w:tc>
          <w:tcPr>
            <w:tcW w:w="4928" w:type="dxa"/>
            <w:tcBorders>
              <w:bottom w:val="single" w:color="auto" w:sz="6" w:space="0"/>
              <w:right w:val="single" w:color="auto" w:sz="6" w:space="0"/>
            </w:tcBorders>
            <w:shd w:val="clear" w:color="auto" w:fill="FFFFFF"/>
            <w:noWrap w:val="0"/>
            <w:tcMar>
              <w:top w:w="158" w:type="dxa"/>
              <w:left w:w="240" w:type="dxa"/>
              <w:bottom w:w="158" w:type="dxa"/>
              <w:right w:w="240" w:type="dxa"/>
            </w:tcMar>
            <w:vAlign w:val="center"/>
          </w:tcPr>
          <w:p w14:paraId="1E9A45DB">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HIS系统标记核验结果</w:t>
            </w:r>
          </w:p>
        </w:tc>
        <w:tc>
          <w:tcPr>
            <w:tcW w:w="2601" w:type="dxa"/>
            <w:tcBorders>
              <w:bottom w:val="single" w:color="auto" w:sz="6" w:space="0"/>
              <w:right w:val="single" w:color="auto" w:sz="6" w:space="0"/>
            </w:tcBorders>
            <w:shd w:val="clear" w:color="auto" w:fill="FFFFFF"/>
            <w:noWrap w:val="0"/>
            <w:tcMar>
              <w:top w:w="158" w:type="dxa"/>
              <w:left w:w="240" w:type="dxa"/>
              <w:bottom w:w="158" w:type="dxa"/>
              <w:right w:w="240" w:type="dxa"/>
            </w:tcMar>
            <w:vAlign w:val="center"/>
          </w:tcPr>
          <w:p w14:paraId="0896F407">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数据库更新</w:t>
            </w:r>
          </w:p>
        </w:tc>
      </w:tr>
    </w:tbl>
    <w:p w14:paraId="196CA601">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医保待遇计算</w:t>
      </w:r>
    </w:p>
    <w:p w14:paraId="4E899CDB">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上传诊疗明细至医保系统</w:t>
      </w:r>
    </w:p>
    <w:p w14:paraId="582C49AE">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获取医保报销比例及费用拆分结果</w:t>
      </w:r>
    </w:p>
    <w:p w14:paraId="12958E85">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系统自动计算医保统筹基金支付、个人账户支付及自付部分1</w:t>
      </w:r>
    </w:p>
    <w:p w14:paraId="4E303E9B">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结算数据上传</w:t>
      </w:r>
    </w:p>
    <w:p w14:paraId="5F31A8F6">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加密传输结算数据(包括项目编码、数量、单价等)</w:t>
      </w:r>
    </w:p>
    <w:p w14:paraId="0EAAB999">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接收医保系统处理结果</w:t>
      </w:r>
    </w:p>
    <w:p w14:paraId="4B7AF48C">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更新HIS系统状态(药房/检查室同步)1</w:t>
      </w:r>
    </w:p>
    <w:p w14:paraId="6B4E6FD0">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监管数据同步</w:t>
      </w:r>
    </w:p>
    <w:p w14:paraId="499105B4">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实时上传诊疗行为数据</w:t>
      </w:r>
    </w:p>
    <w:p w14:paraId="5FDE550D">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接收医保部门违规提醒</w:t>
      </w:r>
    </w:p>
    <w:p w14:paraId="1F3D711E">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定期进行数据对账1</w:t>
      </w:r>
    </w:p>
    <w:p w14:paraId="1A2313BC">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测试与上线流程</w:t>
      </w:r>
    </w:p>
    <w:p w14:paraId="6EB66597">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b/>
          <w:bCs/>
          <w:sz w:val="24"/>
          <w:szCs w:val="24"/>
        </w:rPr>
        <w:t>接口联调测试</w:t>
      </w:r>
      <w:r>
        <w:rPr>
          <w:rFonts w:hint="eastAsia" w:ascii="仿宋" w:hAnsi="仿宋" w:eastAsia="仿宋" w:cs="仿宋"/>
          <w:sz w:val="24"/>
          <w:szCs w:val="24"/>
        </w:rPr>
        <w:t>‌：模拟真实交易环境；验证身份核验、待遇计算、结算上传等核心功能。</w:t>
      </w:r>
    </w:p>
    <w:p w14:paraId="589A23CF">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b/>
          <w:bCs/>
          <w:sz w:val="24"/>
          <w:szCs w:val="24"/>
        </w:rPr>
        <w:t>压力测试</w:t>
      </w:r>
      <w:r>
        <w:rPr>
          <w:rFonts w:hint="eastAsia" w:ascii="仿宋" w:hAnsi="仿宋" w:eastAsia="仿宋" w:cs="仿宋"/>
          <w:sz w:val="24"/>
          <w:szCs w:val="24"/>
        </w:rPr>
        <w:t>‌：模拟高并发场景(如门诊高峰时段)；确保系统稳定性。</w:t>
      </w:r>
    </w:p>
    <w:p w14:paraId="79E7C7C9">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b/>
          <w:bCs/>
          <w:sz w:val="24"/>
          <w:szCs w:val="24"/>
        </w:rPr>
        <w:t>安全测试</w:t>
      </w:r>
      <w:r>
        <w:rPr>
          <w:rFonts w:hint="eastAsia" w:ascii="仿宋" w:hAnsi="仿宋" w:eastAsia="仿宋" w:cs="仿宋"/>
          <w:sz w:val="24"/>
          <w:szCs w:val="24"/>
        </w:rPr>
        <w:t>‌：渗透测试；数据加密验证。</w:t>
      </w:r>
    </w:p>
    <w:p w14:paraId="12B1968D">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b/>
          <w:bCs/>
          <w:sz w:val="24"/>
          <w:szCs w:val="24"/>
        </w:rPr>
        <w:t>正式上线</w:t>
      </w:r>
      <w:r>
        <w:rPr>
          <w:rFonts w:hint="eastAsia" w:ascii="仿宋" w:hAnsi="仿宋" w:eastAsia="仿宋" w:cs="仿宋"/>
          <w:sz w:val="24"/>
          <w:szCs w:val="24"/>
        </w:rPr>
        <w:t>‌：分阶段推广(先部分科室再全院)；建立异常处理机制(5分钟内响应)。</w:t>
      </w:r>
    </w:p>
    <w:p w14:paraId="245A9689">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第二：医保智能监管系统对接流程设计</w:t>
      </w:r>
    </w:p>
    <w:p w14:paraId="580FDF41">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医保智能监管系统是保障医保基金安全的重要技术手段，通过大数据、人工智能等技术实现全流程监管。医保智能监管系统对接的流程设计如下：</w:t>
      </w:r>
    </w:p>
    <w:p w14:paraId="4EA79FEC">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接口程序开发</w:t>
      </w:r>
    </w:p>
    <w:tbl>
      <w:tblPr>
        <w:tblStyle w:val="17"/>
        <w:tblW w:w="0" w:type="auto"/>
        <w:tblCellSpacing w:w="15" w:type="dxa"/>
        <w:tblInd w:w="285" w:type="dxa"/>
        <w:tblLayout w:type="autofit"/>
        <w:tblCellMar>
          <w:top w:w="0" w:type="dxa"/>
          <w:left w:w="0" w:type="dxa"/>
          <w:bottom w:w="0" w:type="dxa"/>
          <w:right w:w="0" w:type="dxa"/>
        </w:tblCellMar>
      </w:tblPr>
      <w:tblGrid>
        <w:gridCol w:w="1504"/>
        <w:gridCol w:w="4319"/>
        <w:gridCol w:w="2774"/>
      </w:tblGrid>
      <w:tr w14:paraId="52FDF4D1">
        <w:tblPrEx>
          <w:tblCellMar>
            <w:top w:w="0" w:type="dxa"/>
            <w:left w:w="0" w:type="dxa"/>
            <w:bottom w:w="0" w:type="dxa"/>
            <w:right w:w="0" w:type="dxa"/>
          </w:tblCellMar>
        </w:tblPrEx>
        <w:trPr>
          <w:tblHeader/>
          <w:tblCellSpacing w:w="15" w:type="dxa"/>
        </w:trPr>
        <w:tc>
          <w:tcPr>
            <w:tcW w:w="1437" w:type="dxa"/>
            <w:tcBorders>
              <w:top w:val="single" w:color="auto" w:sz="6" w:space="0"/>
              <w:left w:val="single" w:color="auto" w:sz="6" w:space="0"/>
              <w:bottom w:val="single" w:color="auto" w:sz="6" w:space="0"/>
              <w:right w:val="single" w:color="auto" w:sz="6" w:space="0"/>
            </w:tcBorders>
            <w:noWrap/>
            <w:tcMar>
              <w:top w:w="158" w:type="dxa"/>
              <w:left w:w="240" w:type="dxa"/>
              <w:bottom w:w="113" w:type="dxa"/>
              <w:right w:w="240" w:type="dxa"/>
            </w:tcMar>
            <w:vAlign w:val="center"/>
          </w:tcPr>
          <w:p w14:paraId="53D81B45">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场景</w:t>
            </w:r>
          </w:p>
        </w:tc>
        <w:tc>
          <w:tcPr>
            <w:tcW w:w="4307" w:type="dxa"/>
            <w:tcBorders>
              <w:top w:val="single" w:color="auto" w:sz="6" w:space="0"/>
              <w:bottom w:val="single" w:color="auto" w:sz="6" w:space="0"/>
              <w:right w:val="single" w:color="auto" w:sz="6" w:space="0"/>
            </w:tcBorders>
            <w:noWrap/>
            <w:tcMar>
              <w:top w:w="158" w:type="dxa"/>
              <w:left w:w="240" w:type="dxa"/>
              <w:bottom w:w="113" w:type="dxa"/>
              <w:right w:w="240" w:type="dxa"/>
            </w:tcMar>
            <w:vAlign w:val="center"/>
          </w:tcPr>
          <w:p w14:paraId="6F01645C">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数据交互流程</w:t>
            </w:r>
          </w:p>
        </w:tc>
        <w:tc>
          <w:tcPr>
            <w:tcW w:w="2733" w:type="dxa"/>
            <w:tcBorders>
              <w:top w:val="single" w:color="auto" w:sz="6" w:space="0"/>
              <w:bottom w:val="single" w:color="auto" w:sz="6" w:space="0"/>
              <w:right w:val="single" w:color="auto" w:sz="6" w:space="0"/>
            </w:tcBorders>
            <w:noWrap/>
            <w:tcMar>
              <w:top w:w="158" w:type="dxa"/>
              <w:left w:w="240" w:type="dxa"/>
              <w:bottom w:w="113" w:type="dxa"/>
              <w:right w:w="240" w:type="dxa"/>
            </w:tcMar>
            <w:vAlign w:val="center"/>
          </w:tcPr>
          <w:p w14:paraId="52A8810B">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技术实现</w:t>
            </w:r>
          </w:p>
        </w:tc>
      </w:tr>
      <w:tr w14:paraId="36376B81">
        <w:tblPrEx>
          <w:tblCellMar>
            <w:top w:w="0" w:type="dxa"/>
            <w:left w:w="0" w:type="dxa"/>
            <w:bottom w:w="0" w:type="dxa"/>
            <w:right w:w="0" w:type="dxa"/>
          </w:tblCellMar>
        </w:tblPrEx>
        <w:trPr>
          <w:tblCellSpacing w:w="15" w:type="dxa"/>
        </w:trPr>
        <w:tc>
          <w:tcPr>
            <w:tcW w:w="1437" w:type="dxa"/>
            <w:tcBorders>
              <w:left w:val="single" w:color="auto" w:sz="6" w:space="0"/>
              <w:bottom w:val="single" w:color="auto" w:sz="6" w:space="0"/>
              <w:right w:val="single" w:color="auto" w:sz="6" w:space="0"/>
            </w:tcBorders>
            <w:noWrap w:val="0"/>
            <w:tcMar>
              <w:top w:w="158" w:type="dxa"/>
              <w:left w:w="240" w:type="dxa"/>
              <w:bottom w:w="158" w:type="dxa"/>
              <w:right w:w="240" w:type="dxa"/>
            </w:tcMar>
            <w:vAlign w:val="center"/>
          </w:tcPr>
          <w:p w14:paraId="564FAD93">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身份核验‌</w:t>
            </w:r>
          </w:p>
        </w:tc>
        <w:tc>
          <w:tcPr>
            <w:tcW w:w="4307" w:type="dxa"/>
            <w:tcBorders>
              <w:bottom w:val="single" w:color="auto" w:sz="6" w:space="0"/>
              <w:right w:val="single" w:color="auto" w:sz="6" w:space="0"/>
            </w:tcBorders>
            <w:noWrap w:val="0"/>
            <w:tcMar>
              <w:top w:w="158" w:type="dxa"/>
              <w:left w:w="240" w:type="dxa"/>
              <w:bottom w:w="158" w:type="dxa"/>
              <w:right w:w="240" w:type="dxa"/>
            </w:tcMar>
            <w:vAlign w:val="center"/>
          </w:tcPr>
          <w:p w14:paraId="188728DD">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读取患者医保信息→加密传输→返回核验结果</w:t>
            </w:r>
          </w:p>
        </w:tc>
        <w:tc>
          <w:tcPr>
            <w:tcW w:w="2733" w:type="dxa"/>
            <w:tcBorders>
              <w:bottom w:val="single" w:color="auto" w:sz="6" w:space="0"/>
              <w:right w:val="single" w:color="auto" w:sz="6" w:space="0"/>
            </w:tcBorders>
            <w:noWrap w:val="0"/>
            <w:tcMar>
              <w:top w:w="158" w:type="dxa"/>
              <w:left w:w="240" w:type="dxa"/>
              <w:bottom w:w="158" w:type="dxa"/>
              <w:right w:w="240" w:type="dxa"/>
            </w:tcMar>
            <w:vAlign w:val="center"/>
          </w:tcPr>
          <w:p w14:paraId="79A1008C">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医保电子凭证接口</w:t>
            </w:r>
          </w:p>
        </w:tc>
      </w:tr>
      <w:tr w14:paraId="5F935E1D">
        <w:tblPrEx>
          <w:tblCellMar>
            <w:top w:w="0" w:type="dxa"/>
            <w:left w:w="0" w:type="dxa"/>
            <w:bottom w:w="0" w:type="dxa"/>
            <w:right w:w="0" w:type="dxa"/>
          </w:tblCellMar>
        </w:tblPrEx>
        <w:trPr>
          <w:tblCellSpacing w:w="15" w:type="dxa"/>
        </w:trPr>
        <w:tc>
          <w:tcPr>
            <w:tcW w:w="1437" w:type="dxa"/>
            <w:tcBorders>
              <w:left w:val="single" w:color="auto" w:sz="6" w:space="0"/>
              <w:bottom w:val="single" w:color="auto" w:sz="6" w:space="0"/>
              <w:right w:val="single" w:color="auto" w:sz="6" w:space="0"/>
            </w:tcBorders>
            <w:noWrap w:val="0"/>
            <w:tcMar>
              <w:top w:w="158" w:type="dxa"/>
              <w:left w:w="240" w:type="dxa"/>
              <w:bottom w:w="158" w:type="dxa"/>
              <w:right w:w="240" w:type="dxa"/>
            </w:tcMar>
            <w:vAlign w:val="center"/>
          </w:tcPr>
          <w:p w14:paraId="184ADD65">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待遇计算‌</w:t>
            </w:r>
          </w:p>
        </w:tc>
        <w:tc>
          <w:tcPr>
            <w:tcW w:w="4307" w:type="dxa"/>
            <w:tcBorders>
              <w:bottom w:val="single" w:color="auto" w:sz="6" w:space="0"/>
              <w:right w:val="single" w:color="auto" w:sz="6" w:space="0"/>
            </w:tcBorders>
            <w:noWrap w:val="0"/>
            <w:tcMar>
              <w:top w:w="158" w:type="dxa"/>
              <w:left w:w="240" w:type="dxa"/>
              <w:bottom w:w="158" w:type="dxa"/>
              <w:right w:w="240" w:type="dxa"/>
            </w:tcMar>
            <w:vAlign w:val="center"/>
          </w:tcPr>
          <w:p w14:paraId="26C41181">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上传诊疗明细→获取医保报销比例→拆分费用</w:t>
            </w:r>
          </w:p>
        </w:tc>
        <w:tc>
          <w:tcPr>
            <w:tcW w:w="2733" w:type="dxa"/>
            <w:tcBorders>
              <w:bottom w:val="single" w:color="auto" w:sz="6" w:space="0"/>
              <w:right w:val="single" w:color="auto" w:sz="6" w:space="0"/>
            </w:tcBorders>
            <w:noWrap w:val="0"/>
            <w:tcMar>
              <w:top w:w="158" w:type="dxa"/>
              <w:left w:w="240" w:type="dxa"/>
              <w:bottom w:w="158" w:type="dxa"/>
              <w:right w:w="240" w:type="dxa"/>
            </w:tcMar>
            <w:vAlign w:val="center"/>
          </w:tcPr>
          <w:p w14:paraId="6D49C6D9">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规则引擎调用</w:t>
            </w:r>
          </w:p>
        </w:tc>
      </w:tr>
      <w:tr w14:paraId="4CE6B381">
        <w:tblPrEx>
          <w:tblCellMar>
            <w:top w:w="0" w:type="dxa"/>
            <w:left w:w="0" w:type="dxa"/>
            <w:bottom w:w="0" w:type="dxa"/>
            <w:right w:w="0" w:type="dxa"/>
          </w:tblCellMar>
        </w:tblPrEx>
        <w:trPr>
          <w:tblCellSpacing w:w="15" w:type="dxa"/>
        </w:trPr>
        <w:tc>
          <w:tcPr>
            <w:tcW w:w="1437" w:type="dxa"/>
            <w:tcBorders>
              <w:left w:val="single" w:color="auto" w:sz="6" w:space="0"/>
              <w:bottom w:val="single" w:color="auto" w:sz="6" w:space="0"/>
              <w:right w:val="single" w:color="auto" w:sz="6" w:space="0"/>
            </w:tcBorders>
            <w:noWrap w:val="0"/>
            <w:tcMar>
              <w:top w:w="158" w:type="dxa"/>
              <w:left w:w="240" w:type="dxa"/>
              <w:bottom w:w="158" w:type="dxa"/>
              <w:right w:w="240" w:type="dxa"/>
            </w:tcMar>
            <w:vAlign w:val="center"/>
          </w:tcPr>
          <w:p w14:paraId="43C69657">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结算上传‌</w:t>
            </w:r>
          </w:p>
        </w:tc>
        <w:tc>
          <w:tcPr>
            <w:tcW w:w="4307" w:type="dxa"/>
            <w:tcBorders>
              <w:bottom w:val="single" w:color="auto" w:sz="6" w:space="0"/>
              <w:right w:val="single" w:color="auto" w:sz="6" w:space="0"/>
            </w:tcBorders>
            <w:noWrap w:val="0"/>
            <w:tcMar>
              <w:top w:w="158" w:type="dxa"/>
              <w:left w:w="240" w:type="dxa"/>
              <w:bottom w:w="158" w:type="dxa"/>
              <w:right w:w="240" w:type="dxa"/>
            </w:tcMar>
            <w:vAlign w:val="center"/>
          </w:tcPr>
          <w:p w14:paraId="2955522B">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加密传输结算数据→接收处理结果→更新系统状态</w:t>
            </w:r>
          </w:p>
        </w:tc>
        <w:tc>
          <w:tcPr>
            <w:tcW w:w="2733" w:type="dxa"/>
            <w:tcBorders>
              <w:bottom w:val="single" w:color="auto" w:sz="6" w:space="0"/>
              <w:right w:val="single" w:color="auto" w:sz="6" w:space="0"/>
            </w:tcBorders>
            <w:noWrap w:val="0"/>
            <w:tcMar>
              <w:top w:w="158" w:type="dxa"/>
              <w:left w:w="240" w:type="dxa"/>
              <w:bottom w:w="158" w:type="dxa"/>
              <w:right w:w="240" w:type="dxa"/>
            </w:tcMar>
            <w:vAlign w:val="center"/>
          </w:tcPr>
          <w:p w14:paraId="6D495D79">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支付处理接口</w:t>
            </w:r>
          </w:p>
        </w:tc>
      </w:tr>
      <w:tr w14:paraId="136E36A9">
        <w:tblPrEx>
          <w:tblCellMar>
            <w:top w:w="0" w:type="dxa"/>
            <w:left w:w="0" w:type="dxa"/>
            <w:bottom w:w="0" w:type="dxa"/>
            <w:right w:w="0" w:type="dxa"/>
          </w:tblCellMar>
        </w:tblPrEx>
        <w:trPr>
          <w:tblCellSpacing w:w="15" w:type="dxa"/>
        </w:trPr>
        <w:tc>
          <w:tcPr>
            <w:tcW w:w="1437" w:type="dxa"/>
            <w:tcBorders>
              <w:left w:val="single" w:color="auto" w:sz="6" w:space="0"/>
              <w:bottom w:val="single" w:color="auto" w:sz="6" w:space="0"/>
              <w:right w:val="single" w:color="auto" w:sz="6" w:space="0"/>
            </w:tcBorders>
            <w:noWrap w:val="0"/>
            <w:tcMar>
              <w:top w:w="158" w:type="dxa"/>
              <w:left w:w="240" w:type="dxa"/>
              <w:bottom w:w="158" w:type="dxa"/>
              <w:right w:w="240" w:type="dxa"/>
            </w:tcMar>
            <w:vAlign w:val="center"/>
          </w:tcPr>
          <w:p w14:paraId="141848BB">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监管同步‌</w:t>
            </w:r>
          </w:p>
        </w:tc>
        <w:tc>
          <w:tcPr>
            <w:tcW w:w="4307" w:type="dxa"/>
            <w:tcBorders>
              <w:bottom w:val="single" w:color="auto" w:sz="6" w:space="0"/>
              <w:right w:val="single" w:color="auto" w:sz="6" w:space="0"/>
            </w:tcBorders>
            <w:noWrap w:val="0"/>
            <w:tcMar>
              <w:top w:w="158" w:type="dxa"/>
              <w:left w:w="240" w:type="dxa"/>
              <w:bottom w:w="158" w:type="dxa"/>
              <w:right w:w="240" w:type="dxa"/>
            </w:tcMar>
            <w:vAlign w:val="center"/>
          </w:tcPr>
          <w:p w14:paraId="13B92087">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实时上传诊疗行为数据→接收违规提醒</w:t>
            </w:r>
          </w:p>
        </w:tc>
        <w:tc>
          <w:tcPr>
            <w:tcW w:w="2733" w:type="dxa"/>
            <w:tcBorders>
              <w:bottom w:val="single" w:color="auto" w:sz="6" w:space="0"/>
              <w:right w:val="single" w:color="auto" w:sz="6" w:space="0"/>
            </w:tcBorders>
            <w:noWrap w:val="0"/>
            <w:tcMar>
              <w:top w:w="158" w:type="dxa"/>
              <w:left w:w="240" w:type="dxa"/>
              <w:bottom w:w="158" w:type="dxa"/>
              <w:right w:w="240" w:type="dxa"/>
            </w:tcMar>
            <w:vAlign w:val="center"/>
          </w:tcPr>
          <w:p w14:paraId="0A3C1267">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智能监管接口</w:t>
            </w:r>
          </w:p>
        </w:tc>
      </w:tr>
    </w:tbl>
    <w:p w14:paraId="2B8DAFAB">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‌测试与上线流程</w:t>
      </w:r>
    </w:p>
    <w:p w14:paraId="7F5CA023">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b/>
          <w:bCs/>
          <w:sz w:val="24"/>
          <w:szCs w:val="24"/>
        </w:rPr>
        <w:t>接口联调测试</w:t>
      </w:r>
      <w:r>
        <w:rPr>
          <w:rFonts w:hint="eastAsia" w:ascii="仿宋" w:hAnsi="仿宋" w:eastAsia="仿宋" w:cs="仿宋"/>
          <w:sz w:val="24"/>
          <w:szCs w:val="24"/>
        </w:rPr>
        <w:t>‌：模拟真实交易环境；验证身份核验、待遇计算、结算上传等核心功能。</w:t>
      </w:r>
    </w:p>
    <w:p w14:paraId="7C1E2ACB">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b/>
          <w:bCs/>
          <w:sz w:val="24"/>
          <w:szCs w:val="24"/>
        </w:rPr>
        <w:t>压力测试</w:t>
      </w:r>
      <w:r>
        <w:rPr>
          <w:rFonts w:hint="eastAsia" w:ascii="仿宋" w:hAnsi="仿宋" w:eastAsia="仿宋" w:cs="仿宋"/>
          <w:sz w:val="24"/>
          <w:szCs w:val="24"/>
        </w:rPr>
        <w:t>‌：模拟高并发场景(如门诊高峰时段)；确保系统稳定性。</w:t>
      </w:r>
    </w:p>
    <w:p w14:paraId="7826989E">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b/>
          <w:bCs/>
          <w:sz w:val="24"/>
          <w:szCs w:val="24"/>
        </w:rPr>
        <w:t>安全测试</w:t>
      </w:r>
      <w:r>
        <w:rPr>
          <w:rFonts w:hint="eastAsia" w:ascii="仿宋" w:hAnsi="仿宋" w:eastAsia="仿宋" w:cs="仿宋"/>
          <w:sz w:val="24"/>
          <w:szCs w:val="24"/>
        </w:rPr>
        <w:t>‌：渗透测试；数据加密验证。</w:t>
      </w:r>
    </w:p>
    <w:p w14:paraId="0A6FA7CA">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b/>
          <w:bCs/>
          <w:sz w:val="24"/>
          <w:szCs w:val="24"/>
        </w:rPr>
        <w:t>正式上线</w:t>
      </w:r>
      <w:r>
        <w:rPr>
          <w:rFonts w:hint="eastAsia" w:ascii="仿宋" w:hAnsi="仿宋" w:eastAsia="仿宋" w:cs="仿宋"/>
          <w:sz w:val="24"/>
          <w:szCs w:val="24"/>
        </w:rPr>
        <w:t>‌：分阶段推广(先部分科室再全院)；建立异常处理机制(5分钟内响应)。</w:t>
      </w:r>
    </w:p>
    <w:p w14:paraId="7662DF6F">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bCs/>
          <w:sz w:val="24"/>
          <w:szCs w:val="24"/>
        </w:rPr>
      </w:pPr>
      <w:r>
        <w:rPr>
          <w:rFonts w:hint="eastAsia" w:ascii="仿宋" w:hAnsi="仿宋" w:eastAsia="仿宋" w:cs="仿宋"/>
          <w:b/>
          <w:sz w:val="24"/>
          <w:szCs w:val="24"/>
        </w:rPr>
        <w:t>第三：</w:t>
      </w:r>
      <w:r>
        <w:rPr>
          <w:rFonts w:hint="eastAsia" w:ascii="仿宋" w:hAnsi="仿宋" w:eastAsia="仿宋" w:cs="仿宋"/>
          <w:b/>
          <w:bCs/>
          <w:sz w:val="24"/>
          <w:szCs w:val="24"/>
        </w:rPr>
        <w:t>医保电子处方转系统对接流程设计</w:t>
      </w:r>
    </w:p>
    <w:p w14:paraId="74FC2927">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Cs/>
          <w:sz w:val="24"/>
          <w:szCs w:val="24"/>
        </w:rPr>
      </w:pPr>
      <w:r>
        <w:rPr>
          <w:rFonts w:hint="eastAsia" w:ascii="仿宋" w:hAnsi="仿宋" w:eastAsia="仿宋" w:cs="仿宋"/>
          <w:bCs/>
          <w:sz w:val="24"/>
          <w:szCs w:val="24"/>
        </w:rPr>
        <w:t>医保电子处方流转系统是连接医疗机构与零售药房的数字化桥梁，实现处方信息的安全流转和医保结算。以下从系统定义、对接流程、技术标准、安全要求四个维度详细说明医保电子处方流转系统的对接流程设计。</w:t>
      </w:r>
    </w:p>
    <w:p w14:paraId="3DD6918F">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系统定义与功能范围：</w:t>
      </w:r>
      <w:r>
        <w:rPr>
          <w:rFonts w:hint="eastAsia" w:ascii="仿宋" w:hAnsi="仿宋" w:eastAsia="仿宋" w:cs="仿宋"/>
          <w:bCs/>
          <w:sz w:val="24"/>
          <w:szCs w:val="24"/>
        </w:rPr>
        <w:t>医保电子处方流转是指患者到定点医疗机构就诊后，将法定医师开具的电子处方通过医保电子处方流转平台，以电子信息化的形式流转到院外定点零售药店，患者可自主选择药店购药并进行医保结算。</w:t>
      </w:r>
    </w:p>
    <w:p w14:paraId="3DE1E0B2">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Cs/>
          <w:sz w:val="24"/>
          <w:szCs w:val="24"/>
        </w:rPr>
      </w:pPr>
      <w:r>
        <w:rPr>
          <w:rFonts w:hint="eastAsia" w:ascii="仿宋" w:hAnsi="仿宋" w:eastAsia="仿宋" w:cs="仿宋"/>
          <w:bCs/>
          <w:sz w:val="24"/>
          <w:szCs w:val="24"/>
        </w:rPr>
        <w:t>‌</w:t>
      </w:r>
      <w:r>
        <w:rPr>
          <w:rFonts w:hint="eastAsia" w:ascii="仿宋" w:hAnsi="仿宋" w:eastAsia="仿宋" w:cs="仿宋"/>
          <w:b/>
          <w:sz w:val="24"/>
          <w:szCs w:val="24"/>
        </w:rPr>
        <w:t>核心功能‌：</w:t>
      </w:r>
    </w:p>
    <w:p w14:paraId="6460E11D">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Cs/>
          <w:sz w:val="24"/>
          <w:szCs w:val="24"/>
        </w:rPr>
      </w:pPr>
      <w:r>
        <w:rPr>
          <w:rFonts w:hint="eastAsia" w:ascii="仿宋" w:hAnsi="仿宋" w:eastAsia="仿宋" w:cs="仿宋"/>
          <w:bCs/>
          <w:sz w:val="24"/>
          <w:szCs w:val="24"/>
        </w:rPr>
        <w:t>处方外购：支持医疗机构未配备药品的外购需求</w:t>
      </w:r>
    </w:p>
    <w:p w14:paraId="1A74348D">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Cs/>
          <w:sz w:val="24"/>
          <w:szCs w:val="24"/>
        </w:rPr>
      </w:pPr>
      <w:r>
        <w:rPr>
          <w:rFonts w:hint="eastAsia" w:ascii="仿宋" w:hAnsi="仿宋" w:eastAsia="仿宋" w:cs="仿宋"/>
          <w:bCs/>
          <w:sz w:val="24"/>
          <w:szCs w:val="24"/>
        </w:rPr>
        <w:t>医保结算：实现药店端医保费用"一站式"报销</w:t>
      </w:r>
    </w:p>
    <w:p w14:paraId="3074983E">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Cs/>
          <w:sz w:val="24"/>
          <w:szCs w:val="24"/>
        </w:rPr>
      </w:pPr>
      <w:r>
        <w:rPr>
          <w:rFonts w:hint="eastAsia" w:ascii="仿宋" w:hAnsi="仿宋" w:eastAsia="仿宋" w:cs="仿宋"/>
          <w:bCs/>
          <w:sz w:val="24"/>
          <w:szCs w:val="24"/>
        </w:rPr>
        <w:t>合理用药监测：通过规则引擎进行处方合规性检查</w:t>
      </w:r>
    </w:p>
    <w:p w14:paraId="191A94D0">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Cs/>
          <w:sz w:val="24"/>
          <w:szCs w:val="24"/>
        </w:rPr>
      </w:pPr>
      <w:r>
        <w:rPr>
          <w:rFonts w:hint="eastAsia" w:ascii="仿宋" w:hAnsi="仿宋" w:eastAsia="仿宋" w:cs="仿宋"/>
          <w:bCs/>
          <w:sz w:val="24"/>
          <w:szCs w:val="24"/>
        </w:rPr>
        <w:t>全流程追溯：记录处方生成、流转、使用的完整链条</w:t>
      </w:r>
    </w:p>
    <w:p w14:paraId="4CA64440">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对接流程设计</w:t>
      </w:r>
    </w:p>
    <w:p w14:paraId="33AC7036">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 xml:space="preserve"> 前期准备阶段</w:t>
      </w:r>
    </w:p>
    <w:tbl>
      <w:tblPr>
        <w:tblStyle w:val="17"/>
        <w:tblW w:w="0" w:type="auto"/>
        <w:tblCellSpacing w:w="15" w:type="dxa"/>
        <w:tblInd w:w="293" w:type="dxa"/>
        <w:shd w:val="clear" w:color="auto" w:fill="FFFFFF"/>
        <w:tblLayout w:type="autofit"/>
        <w:tblCellMar>
          <w:top w:w="0" w:type="dxa"/>
          <w:left w:w="0" w:type="dxa"/>
          <w:bottom w:w="0" w:type="dxa"/>
          <w:right w:w="0" w:type="dxa"/>
        </w:tblCellMar>
      </w:tblPr>
      <w:tblGrid>
        <w:gridCol w:w="1854"/>
        <w:gridCol w:w="3809"/>
        <w:gridCol w:w="2926"/>
      </w:tblGrid>
      <w:tr w14:paraId="021FD262">
        <w:tblPrEx>
          <w:shd w:val="clear" w:color="auto" w:fill="FFFFFF"/>
          <w:tblCellMar>
            <w:top w:w="0" w:type="dxa"/>
            <w:left w:w="0" w:type="dxa"/>
            <w:bottom w:w="0" w:type="dxa"/>
            <w:right w:w="0" w:type="dxa"/>
          </w:tblCellMar>
        </w:tblPrEx>
        <w:trPr>
          <w:tblHeader/>
          <w:tblCellSpacing w:w="15" w:type="dxa"/>
        </w:trPr>
        <w:tc>
          <w:tcPr>
            <w:tcW w:w="1790" w:type="dxa"/>
            <w:tcBorders>
              <w:top w:val="single" w:color="auto" w:sz="6" w:space="0"/>
              <w:left w:val="single" w:color="auto" w:sz="6" w:space="0"/>
              <w:bottom w:val="single" w:color="auto" w:sz="6" w:space="0"/>
              <w:right w:val="single" w:color="auto" w:sz="6" w:space="0"/>
            </w:tcBorders>
            <w:shd w:val="clear" w:color="auto" w:fill="FFFFFF"/>
            <w:noWrap/>
            <w:tcMar>
              <w:top w:w="158" w:type="dxa"/>
              <w:left w:w="240" w:type="dxa"/>
              <w:bottom w:w="113" w:type="dxa"/>
              <w:right w:w="240" w:type="dxa"/>
            </w:tcMar>
            <w:vAlign w:val="center"/>
          </w:tcPr>
          <w:p w14:paraId="527F88FE">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准备事项</w:t>
            </w:r>
          </w:p>
        </w:tc>
        <w:tc>
          <w:tcPr>
            <w:tcW w:w="3792" w:type="dxa"/>
            <w:tcBorders>
              <w:top w:val="single" w:color="auto" w:sz="6" w:space="0"/>
              <w:bottom w:val="single" w:color="auto" w:sz="6" w:space="0"/>
              <w:right w:val="single" w:color="auto" w:sz="6" w:space="0"/>
            </w:tcBorders>
            <w:shd w:val="clear" w:color="auto" w:fill="FFFFFF"/>
            <w:noWrap/>
            <w:tcMar>
              <w:top w:w="158" w:type="dxa"/>
              <w:left w:w="240" w:type="dxa"/>
              <w:bottom w:w="113" w:type="dxa"/>
              <w:right w:w="240" w:type="dxa"/>
            </w:tcMar>
            <w:vAlign w:val="center"/>
          </w:tcPr>
          <w:p w14:paraId="1DE3D0E7">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具体要求</w:t>
            </w:r>
          </w:p>
        </w:tc>
        <w:tc>
          <w:tcPr>
            <w:tcW w:w="2887" w:type="dxa"/>
            <w:tcBorders>
              <w:top w:val="single" w:color="auto" w:sz="6" w:space="0"/>
              <w:bottom w:val="single" w:color="auto" w:sz="6" w:space="0"/>
              <w:right w:val="single" w:color="auto" w:sz="6" w:space="0"/>
            </w:tcBorders>
            <w:shd w:val="clear" w:color="auto" w:fill="FFFFFF"/>
            <w:noWrap/>
            <w:tcMar>
              <w:top w:w="158" w:type="dxa"/>
              <w:left w:w="240" w:type="dxa"/>
              <w:bottom w:w="113" w:type="dxa"/>
              <w:right w:w="240" w:type="dxa"/>
            </w:tcMar>
            <w:vAlign w:val="center"/>
          </w:tcPr>
          <w:p w14:paraId="0FF1279E">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完成标准</w:t>
            </w:r>
          </w:p>
        </w:tc>
      </w:tr>
      <w:tr w14:paraId="689E273E">
        <w:tblPrEx>
          <w:shd w:val="clear" w:color="auto" w:fill="FFFFFF"/>
          <w:tblCellMar>
            <w:top w:w="0" w:type="dxa"/>
            <w:left w:w="0" w:type="dxa"/>
            <w:bottom w:w="0" w:type="dxa"/>
            <w:right w:w="0" w:type="dxa"/>
          </w:tblCellMar>
        </w:tblPrEx>
        <w:trPr>
          <w:tblCellSpacing w:w="15" w:type="dxa"/>
        </w:trPr>
        <w:tc>
          <w:tcPr>
            <w:tcW w:w="1790" w:type="dxa"/>
            <w:tcBorders>
              <w:left w:val="single" w:color="auto" w:sz="6" w:space="0"/>
              <w:bottom w:val="single" w:color="auto" w:sz="6" w:space="0"/>
              <w:right w:val="single" w:color="auto" w:sz="6" w:space="0"/>
            </w:tcBorders>
            <w:shd w:val="clear" w:color="auto" w:fill="FFFFFF"/>
            <w:noWrap w:val="0"/>
            <w:tcMar>
              <w:top w:w="158" w:type="dxa"/>
              <w:left w:w="240" w:type="dxa"/>
              <w:bottom w:w="158" w:type="dxa"/>
              <w:right w:w="240" w:type="dxa"/>
            </w:tcMar>
            <w:vAlign w:val="center"/>
          </w:tcPr>
          <w:p w14:paraId="61966A8A">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系统改造</w:t>
            </w:r>
          </w:p>
        </w:tc>
        <w:tc>
          <w:tcPr>
            <w:tcW w:w="3792" w:type="dxa"/>
            <w:tcBorders>
              <w:bottom w:val="single" w:color="auto" w:sz="6" w:space="0"/>
              <w:right w:val="single" w:color="auto" w:sz="6" w:space="0"/>
            </w:tcBorders>
            <w:shd w:val="clear" w:color="auto" w:fill="FFFFFF"/>
            <w:noWrap w:val="0"/>
            <w:tcMar>
              <w:top w:w="158" w:type="dxa"/>
              <w:left w:w="240" w:type="dxa"/>
              <w:bottom w:w="158" w:type="dxa"/>
              <w:right w:w="240" w:type="dxa"/>
            </w:tcMar>
            <w:vAlign w:val="center"/>
          </w:tcPr>
          <w:p w14:paraId="51C4DEB8">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HIS系统开发或升级医保对接模块</w:t>
            </w:r>
          </w:p>
        </w:tc>
        <w:tc>
          <w:tcPr>
            <w:tcW w:w="2887" w:type="dxa"/>
            <w:tcBorders>
              <w:bottom w:val="single" w:color="auto" w:sz="6" w:space="0"/>
              <w:right w:val="single" w:color="auto" w:sz="6" w:space="0"/>
            </w:tcBorders>
            <w:shd w:val="clear" w:color="auto" w:fill="FFFFFF"/>
            <w:noWrap w:val="0"/>
            <w:tcMar>
              <w:top w:w="158" w:type="dxa"/>
              <w:left w:w="240" w:type="dxa"/>
              <w:bottom w:w="158" w:type="dxa"/>
              <w:right w:w="240" w:type="dxa"/>
            </w:tcMar>
            <w:vAlign w:val="center"/>
          </w:tcPr>
          <w:p w14:paraId="5300D181">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支持电子处方上传功能</w:t>
            </w:r>
          </w:p>
        </w:tc>
      </w:tr>
      <w:tr w14:paraId="02E188BA">
        <w:tblPrEx>
          <w:tblCellMar>
            <w:top w:w="0" w:type="dxa"/>
            <w:left w:w="0" w:type="dxa"/>
            <w:bottom w:w="0" w:type="dxa"/>
            <w:right w:w="0" w:type="dxa"/>
          </w:tblCellMar>
        </w:tblPrEx>
        <w:trPr>
          <w:tblCellSpacing w:w="15" w:type="dxa"/>
        </w:trPr>
        <w:tc>
          <w:tcPr>
            <w:tcW w:w="1790" w:type="dxa"/>
            <w:tcBorders>
              <w:left w:val="single" w:color="auto" w:sz="6" w:space="0"/>
              <w:bottom w:val="single" w:color="auto" w:sz="6" w:space="0"/>
              <w:right w:val="single" w:color="auto" w:sz="6" w:space="0"/>
            </w:tcBorders>
            <w:shd w:val="clear" w:color="auto" w:fill="FFFFFF"/>
            <w:noWrap w:val="0"/>
            <w:tcMar>
              <w:top w:w="158" w:type="dxa"/>
              <w:left w:w="240" w:type="dxa"/>
              <w:bottom w:w="158" w:type="dxa"/>
              <w:right w:w="240" w:type="dxa"/>
            </w:tcMar>
            <w:vAlign w:val="center"/>
          </w:tcPr>
          <w:p w14:paraId="02C7FC13">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硬件配置</w:t>
            </w:r>
          </w:p>
        </w:tc>
        <w:tc>
          <w:tcPr>
            <w:tcW w:w="3792" w:type="dxa"/>
            <w:tcBorders>
              <w:bottom w:val="single" w:color="auto" w:sz="6" w:space="0"/>
              <w:right w:val="single" w:color="auto" w:sz="6" w:space="0"/>
            </w:tcBorders>
            <w:shd w:val="clear" w:color="auto" w:fill="FFFFFF"/>
            <w:noWrap w:val="0"/>
            <w:tcMar>
              <w:top w:w="158" w:type="dxa"/>
              <w:left w:w="240" w:type="dxa"/>
              <w:bottom w:w="158" w:type="dxa"/>
              <w:right w:w="240" w:type="dxa"/>
            </w:tcMar>
            <w:vAlign w:val="center"/>
          </w:tcPr>
          <w:p w14:paraId="4A2AEF4C">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医保专用加密机、身份证读卡器</w:t>
            </w:r>
          </w:p>
        </w:tc>
        <w:tc>
          <w:tcPr>
            <w:tcW w:w="2887" w:type="dxa"/>
            <w:tcBorders>
              <w:bottom w:val="single" w:color="auto" w:sz="6" w:space="0"/>
              <w:right w:val="single" w:color="auto" w:sz="6" w:space="0"/>
            </w:tcBorders>
            <w:shd w:val="clear" w:color="auto" w:fill="FFFFFF"/>
            <w:noWrap w:val="0"/>
            <w:tcMar>
              <w:top w:w="158" w:type="dxa"/>
              <w:left w:w="240" w:type="dxa"/>
              <w:bottom w:w="158" w:type="dxa"/>
              <w:right w:w="240" w:type="dxa"/>
            </w:tcMar>
            <w:vAlign w:val="center"/>
          </w:tcPr>
          <w:p w14:paraId="5A3E6E83">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通过安全检测</w:t>
            </w:r>
          </w:p>
        </w:tc>
      </w:tr>
      <w:tr w14:paraId="7D31283A">
        <w:tblPrEx>
          <w:shd w:val="clear" w:color="auto" w:fill="FFFFFF"/>
          <w:tblCellMar>
            <w:top w:w="0" w:type="dxa"/>
            <w:left w:w="0" w:type="dxa"/>
            <w:bottom w:w="0" w:type="dxa"/>
            <w:right w:w="0" w:type="dxa"/>
          </w:tblCellMar>
        </w:tblPrEx>
        <w:trPr>
          <w:tblCellSpacing w:w="15" w:type="dxa"/>
        </w:trPr>
        <w:tc>
          <w:tcPr>
            <w:tcW w:w="1790" w:type="dxa"/>
            <w:tcBorders>
              <w:left w:val="single" w:color="auto" w:sz="6" w:space="0"/>
              <w:bottom w:val="single" w:color="auto" w:sz="6" w:space="0"/>
              <w:right w:val="single" w:color="auto" w:sz="6" w:space="0"/>
            </w:tcBorders>
            <w:shd w:val="clear" w:color="auto" w:fill="FFFFFF"/>
            <w:noWrap w:val="0"/>
            <w:tcMar>
              <w:top w:w="158" w:type="dxa"/>
              <w:left w:w="240" w:type="dxa"/>
              <w:bottom w:w="158" w:type="dxa"/>
              <w:right w:w="240" w:type="dxa"/>
            </w:tcMar>
            <w:vAlign w:val="center"/>
          </w:tcPr>
          <w:p w14:paraId="70C41161">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规范获取</w:t>
            </w:r>
          </w:p>
        </w:tc>
        <w:tc>
          <w:tcPr>
            <w:tcW w:w="3792" w:type="dxa"/>
            <w:tcBorders>
              <w:bottom w:val="single" w:color="auto" w:sz="6" w:space="0"/>
              <w:right w:val="single" w:color="auto" w:sz="6" w:space="0"/>
            </w:tcBorders>
            <w:shd w:val="clear" w:color="auto" w:fill="FFFFFF"/>
            <w:noWrap w:val="0"/>
            <w:tcMar>
              <w:top w:w="158" w:type="dxa"/>
              <w:left w:w="240" w:type="dxa"/>
              <w:bottom w:w="158" w:type="dxa"/>
              <w:right w:w="240" w:type="dxa"/>
            </w:tcMar>
            <w:vAlign w:val="center"/>
          </w:tcPr>
          <w:p w14:paraId="3D863D9E">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获取当地医保系统对接技术文档</w:t>
            </w:r>
          </w:p>
        </w:tc>
        <w:tc>
          <w:tcPr>
            <w:tcW w:w="2887" w:type="dxa"/>
            <w:tcBorders>
              <w:bottom w:val="single" w:color="auto" w:sz="6" w:space="0"/>
              <w:right w:val="single" w:color="auto" w:sz="6" w:space="0"/>
            </w:tcBorders>
            <w:shd w:val="clear" w:color="auto" w:fill="FFFFFF"/>
            <w:noWrap w:val="0"/>
            <w:tcMar>
              <w:top w:w="158" w:type="dxa"/>
              <w:left w:w="240" w:type="dxa"/>
              <w:bottom w:w="158" w:type="dxa"/>
              <w:right w:w="240" w:type="dxa"/>
            </w:tcMar>
            <w:vAlign w:val="center"/>
          </w:tcPr>
          <w:p w14:paraId="504C3373">
            <w:pPr>
              <w:pStyle w:val="40"/>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明确接口标准</w:t>
            </w:r>
          </w:p>
        </w:tc>
      </w:tr>
    </w:tbl>
    <w:p w14:paraId="10BDBF12">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核心对接环节</w:t>
      </w:r>
    </w:p>
    <w:p w14:paraId="7508B994">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身份核验流程‌：读取患者医保电子凭证信息；加密传输至医保系统进行核验；返回参保状态、待遇资格等结果；HIS系统标记核验结果</w:t>
      </w:r>
    </w:p>
    <w:p w14:paraId="363550E4">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‌处方流转流程‌：医生开具电子处方并上传至处方中心；药师进行在线审方；患者选择目标药店；药店下载处方并完成配药结算。</w:t>
      </w:r>
    </w:p>
    <w:p w14:paraId="0C9151F2">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测试与上线</w:t>
      </w:r>
    </w:p>
    <w:p w14:paraId="7FEED50D">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接口联调‌：验证身份核验、处方上传等核心功能</w:t>
      </w:r>
    </w:p>
    <w:p w14:paraId="4EB9CB88">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压力测试‌：模拟门诊高峰时段并发场景</w:t>
      </w:r>
    </w:p>
    <w:p w14:paraId="5E0862CD">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安全测试‌：包括渗透测试和数据加密验证</w:t>
      </w:r>
    </w:p>
    <w:p w14:paraId="5F33D8ED">
      <w:pPr>
        <w:pStyle w:val="4"/>
        <w:kinsoku/>
        <w:wordWrap/>
        <w:overflowPunct/>
        <w:topLinePunct w:val="0"/>
        <w:autoSpaceDE/>
        <w:autoSpaceDN/>
        <w:bidi w:val="0"/>
        <w:adjustRightInd/>
        <w:snapToGrid/>
        <w:spacing w:before="0" w:beforeLines="0" w:after="0" w:afterLines="0" w:line="440" w:lineRule="exact"/>
        <w:ind w:firstLine="480" w:firstLineChars="200"/>
        <w:jc w:val="both"/>
        <w:textAlignment w:val="auto"/>
        <w:rPr>
          <w:rFonts w:hint="eastAsia" w:ascii="仿宋" w:hAnsi="仿宋" w:eastAsia="仿宋" w:cs="仿宋"/>
          <w:b w:val="0"/>
          <w:sz w:val="24"/>
          <w:szCs w:val="24"/>
        </w:rPr>
      </w:pPr>
      <w:bookmarkStart w:id="61" w:name="_Toc208416100"/>
      <w:r>
        <w:rPr>
          <w:rFonts w:hint="eastAsia" w:ascii="仿宋" w:hAnsi="仿宋" w:eastAsia="仿宋" w:cs="仿宋"/>
          <w:b w:val="0"/>
          <w:sz w:val="24"/>
          <w:szCs w:val="24"/>
        </w:rPr>
        <w:t>2.1.4业务量分析</w:t>
      </w:r>
      <w:bookmarkEnd w:id="61"/>
    </w:p>
    <w:p w14:paraId="50B76159">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第一：医保移动支付系统对接业务量分析</w:t>
      </w:r>
    </w:p>
    <w:p w14:paraId="0902E21D">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医保移动支付系统作为"互联网+医保"服务的重要组成部分，其业务量情况反映了数字化医疗服务的普及程度和应用效果。分析如下：</w:t>
      </w:r>
    </w:p>
    <w:p w14:paraId="537C1B83">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整体业务规模分析</w:t>
      </w:r>
    </w:p>
    <w:p w14:paraId="76A219C0">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 xml:space="preserve">医保移动支付系统在全国范围内已形成显著的业务规模： </w:t>
      </w:r>
    </w:p>
    <w:p w14:paraId="170B9941">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全国医保码日均结算超过1450万人次；</w:t>
      </w:r>
    </w:p>
    <w:p w14:paraId="71205E39">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全国统一的医保信息平台系统响应时间实现毫秒级，医保码日均结算超过1450万人次；</w:t>
      </w:r>
    </w:p>
    <w:p w14:paraId="6196768A">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全国医保码激活人数超12.36亿人；</w:t>
      </w:r>
    </w:p>
    <w:p w14:paraId="6E9075FD">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医保移动支付系统呈现快速发展态势：</w:t>
      </w:r>
    </w:p>
    <w:p w14:paraId="0FAFA591">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‌覆盖范围扩大‌：</w:t>
      </w:r>
    </w:p>
    <w:p w14:paraId="31FC4274">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国家医保电子处方中心已实现31个省(自治区、直辖市)全覆盖；</w:t>
      </w:r>
    </w:p>
    <w:p w14:paraId="62F4580D">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截至2025年4月，接入7.06万家定点医疗机构和27.14万家定点零售药店；</w:t>
      </w:r>
    </w:p>
    <w:p w14:paraId="75A5509B">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‌业务量快速增长‌：</w:t>
      </w:r>
    </w:p>
    <w:p w14:paraId="5FA4A0F6">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全国2025年上半年医保移动支付门诊使用量同比增长59%，门诊缴费总金额同比增长105.3%；</w:t>
      </w:r>
    </w:p>
    <w:p w14:paraId="12CE51BE">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跨省异地就医直接结算人次从2020年的537万人次增加到2024年的2.38亿人次，增长44倍。</w:t>
      </w:r>
    </w:p>
    <w:p w14:paraId="581C70DD">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b/>
          <w:bCs/>
          <w:sz w:val="24"/>
          <w:szCs w:val="24"/>
        </w:rPr>
        <w:t>未来扩展方向‌：</w:t>
      </w:r>
    </w:p>
    <w:p w14:paraId="6E902365">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从“双通道”药品向慢性病、常见病用药扩展；</w:t>
      </w:r>
    </w:p>
    <w:p w14:paraId="33D39562">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结合“网订店送”服务，提升应用便利性；</w:t>
      </w:r>
    </w:p>
    <w:p w14:paraId="3A7D6B1D">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推广刷脸支付、医保码“共济账户”等创新应用</w:t>
      </w:r>
    </w:p>
    <w:p w14:paraId="3031CFE8">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医保移动支付系统业务量呈现快速增长态势，全国日均结算已超过1450万人次，部分地区如丰台区、长春市等已形成规模应用。随着医保码激活人数突破12亿和系统覆盖范围的扩大，预计未来几年业务量将持续增长。要进一步提升业务量，需要解决技术对接、政策适配和地区发展不均衡等关键问题，通过优化系统功能、完善政策框架和加强基础设施建设，推动医保移动支付更广泛的应用。</w:t>
      </w:r>
    </w:p>
    <w:p w14:paraId="10D15527">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第二：医保智能监管系统对接业务量分析</w:t>
      </w:r>
    </w:p>
    <w:p w14:paraId="58B950C3">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医保智能监管系统作为医保基金安全运行的重要保障，其业务量情况反映了医保监管的数字化水平和应用效果。</w:t>
      </w:r>
    </w:p>
    <w:p w14:paraId="2CA457E2">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整体业务规模分析</w:t>
      </w:r>
    </w:p>
    <w:p w14:paraId="1A39CD0D">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医保智能监管系统在全国范围内已形成显著的业务规模：</w:t>
      </w:r>
    </w:p>
    <w:p w14:paraId="53A8C515">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全国性数据‌：全国医保信息平台日均结算量约1800万人次，最高日结算量可达3476万人次；2024年全国医保系统共追回医保基金275亿元，查实欺诈骗保机构2008家；全国统一医保信息平台已实现31个省(自治区、直辖市)全覆盖。</w:t>
      </w:r>
    </w:p>
    <w:p w14:paraId="790849F6">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地区性数据‌：黑龙江省医保智能客服系统日均处理咨询量突破2500人次，准确率稳定在92%以上；某市医保智能审核系统上线以来累计处理疑点数据约52.2万条，拒付医保违规金额约2223.4万元；汕头市医保智能监管系统累计触发违规提醒18.24万次，拦截违规金额3307.57万元9</w:t>
      </w:r>
    </w:p>
    <w:p w14:paraId="3F96EE91">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业务量增长趋势</w:t>
      </w:r>
    </w:p>
    <w:p w14:paraId="48755D31">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医保智能监管系统呈现快速发展态势：</w:t>
      </w:r>
    </w:p>
    <w:p w14:paraId="557F6E09">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‌覆盖范围扩大‌：智能监管子系统已实现所有统筹地区全覆盖；全国医保智能监控“一张网”加速成型。</w:t>
      </w:r>
    </w:p>
    <w:p w14:paraId="456B6201">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‌监管效能提升‌：某县医保智能规则已成功拦截不合理费用632万余元；慢性病智能监管系统阻断不符合条件的费用263.28万元。</w:t>
      </w:r>
    </w:p>
    <w:p w14:paraId="0FC6EC10">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‌未来扩展方向‌：开展智能监管改革试点，推动监管关口前移；重点覆盖血液透析、康复理疗、精神病院等场景。</w:t>
      </w:r>
    </w:p>
    <w:p w14:paraId="6F04D7A4">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医保智能监管系统业务量呈现快速增长态势，全国日均结算量已达1800万人次，部分地区如宜春市、汕头市等已形成规模应用。随着智能监管子系统的全面覆盖和改革试点的推进，预计未来几年业务量将持续增长。要进一步提升业务量，需要解决数据治理、技术适配和监管能力等关键问题，通过优化系统功能、完善政策框架和加强基础设施建设，推动医保智能监管更广泛的应用。</w:t>
      </w:r>
    </w:p>
    <w:p w14:paraId="172A8889">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第三：医保电子处方流转系统对接业务量分析</w:t>
      </w:r>
    </w:p>
    <w:p w14:paraId="2DC3CFA9">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医保电子处方流转系统作为"互联网+医保"服务的重要组成部分，其业务量情况反映了数字化医疗服务的普及程度和应用效果。</w:t>
      </w:r>
    </w:p>
    <w:p w14:paraId="235E6E53">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医保电子处方流转系统在全国范围内已形成一定规模的应用基础，预计将占我院日均处方量90%左右。</w:t>
      </w:r>
    </w:p>
    <w:p w14:paraId="2960CFAF">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医保电子处方流转系统呈现快速发展态势：</w:t>
      </w:r>
    </w:p>
    <w:p w14:paraId="6E31AD00">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b/>
          <w:bCs/>
          <w:sz w:val="24"/>
          <w:szCs w:val="24"/>
        </w:rPr>
        <w:t>覆盖范围扩大</w:t>
      </w:r>
      <w:r>
        <w:rPr>
          <w:rFonts w:hint="eastAsia" w:ascii="仿宋" w:hAnsi="仿宋" w:eastAsia="仿宋" w:cs="仿宋"/>
          <w:sz w:val="24"/>
          <w:szCs w:val="24"/>
        </w:rPr>
        <w:t>‌：国家医保电子处方中心已实现31个省(自治区、直辖市)全覆盖；截至2025年4月，接入7.06万家定点医疗机构和27.14万家定点零售药店。</w:t>
      </w:r>
    </w:p>
    <w:p w14:paraId="10D7DCD9">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b/>
          <w:bCs/>
          <w:sz w:val="24"/>
          <w:szCs w:val="24"/>
        </w:rPr>
        <w:t>政策驱动增长</w:t>
      </w:r>
      <w:r>
        <w:rPr>
          <w:rFonts w:hint="eastAsia" w:ascii="仿宋" w:hAnsi="仿宋" w:eastAsia="仿宋" w:cs="仿宋"/>
          <w:sz w:val="24"/>
          <w:szCs w:val="24"/>
        </w:rPr>
        <w:t>‌：2025年1月起，“双通道”药品必须全部使用电子处方流转；零售药店纳入门诊统筹政策推动处方外流。</w:t>
      </w:r>
    </w:p>
    <w:p w14:paraId="6AC90BF3">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b/>
          <w:bCs/>
          <w:sz w:val="24"/>
          <w:szCs w:val="24"/>
        </w:rPr>
        <w:t>未来扩展方向</w:t>
      </w:r>
      <w:r>
        <w:rPr>
          <w:rFonts w:hint="eastAsia" w:ascii="仿宋" w:hAnsi="仿宋" w:eastAsia="仿宋" w:cs="仿宋"/>
          <w:sz w:val="24"/>
          <w:szCs w:val="24"/>
        </w:rPr>
        <w:t>‌：从“双通道”药品向慢性病、常见病用药扩展；结合“网订店送”服务，提升应用便利性。</w:t>
      </w:r>
    </w:p>
    <w:p w14:paraId="4C01838B">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医保电子处方流转系统业务量呈现快速增长态势，但地区差异显著。福建、江苏等先行地区已形成规模应用，而部分地区仍处于起步阶段。随着"双通道"政策的全面实施和技术的不断完善，预计未来几年电子处方流转业务量将持续增长，应用范围也将从特殊药品向常规药品扩展。要进一步提升业务量，需要解决医院动力不足、药店成本高和用户使用障碍等关键问题，通过政策激励、技术优化和服务创新推动系统更广泛的应用。</w:t>
      </w:r>
    </w:p>
    <w:p w14:paraId="5D004DD4">
      <w:pPr>
        <w:pStyle w:val="3"/>
        <w:kinsoku/>
        <w:wordWrap/>
        <w:overflowPunct/>
        <w:topLinePunct w:val="0"/>
        <w:autoSpaceDE/>
        <w:autoSpaceDN/>
        <w:bidi w:val="0"/>
        <w:adjustRightInd/>
        <w:snapToGrid/>
        <w:spacing w:before="0" w:beforeLines="0" w:after="0" w:afterLines="0" w:line="440" w:lineRule="exact"/>
        <w:ind w:firstLine="480" w:firstLineChars="200"/>
        <w:jc w:val="both"/>
        <w:textAlignment w:val="auto"/>
        <w:rPr>
          <w:rFonts w:hint="eastAsia" w:ascii="仿宋" w:hAnsi="仿宋" w:eastAsia="仿宋" w:cs="仿宋"/>
          <w:b w:val="0"/>
          <w:sz w:val="24"/>
          <w:szCs w:val="24"/>
        </w:rPr>
      </w:pPr>
      <w:bookmarkStart w:id="62" w:name="_Toc208416101"/>
      <w:r>
        <w:rPr>
          <w:rFonts w:hint="eastAsia" w:ascii="仿宋" w:hAnsi="仿宋" w:eastAsia="仿宋" w:cs="仿宋"/>
          <w:b w:val="0"/>
          <w:sz w:val="24"/>
          <w:szCs w:val="24"/>
        </w:rPr>
        <w:t>2.2系统功能和性能需求分析</w:t>
      </w:r>
      <w:bookmarkEnd w:id="62"/>
    </w:p>
    <w:p w14:paraId="54BC075E">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sz w:val="24"/>
          <w:szCs w:val="24"/>
        </w:rPr>
      </w:pPr>
      <w:bookmarkStart w:id="63" w:name="_Toc394907452"/>
      <w:bookmarkStart w:id="64" w:name="_Toc227386075"/>
      <w:bookmarkStart w:id="65" w:name="_Toc266705354"/>
      <w:bookmarkStart w:id="66" w:name="_Toc203883317"/>
      <w:bookmarkStart w:id="67" w:name="_Toc394906684"/>
      <w:bookmarkStart w:id="68" w:name="_Toc394906944"/>
      <w:bookmarkStart w:id="69" w:name="_Toc394907706"/>
      <w:bookmarkStart w:id="70" w:name="_Toc394907198"/>
      <w:bookmarkStart w:id="71" w:name="_Toc394905656"/>
      <w:bookmarkStart w:id="72" w:name="_Toc37496441"/>
      <w:r>
        <w:rPr>
          <w:rFonts w:hint="eastAsia" w:ascii="仿宋" w:hAnsi="仿宋" w:eastAsia="仿宋" w:cs="仿宋"/>
          <w:b/>
          <w:sz w:val="24"/>
          <w:szCs w:val="24"/>
        </w:rPr>
        <w:t>第一：接口可扩展性</w:t>
      </w:r>
      <w:bookmarkEnd w:id="63"/>
      <w:bookmarkEnd w:id="64"/>
      <w:bookmarkEnd w:id="65"/>
      <w:bookmarkEnd w:id="66"/>
      <w:bookmarkEnd w:id="67"/>
      <w:bookmarkEnd w:id="68"/>
      <w:bookmarkEnd w:id="69"/>
      <w:bookmarkEnd w:id="70"/>
      <w:bookmarkEnd w:id="71"/>
      <w:bookmarkEnd w:id="72"/>
    </w:p>
    <w:p w14:paraId="1C4E500F">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接口采用业界先进、成熟的软件开发技术和系统结构，支持当前使用与今后发展。</w:t>
      </w:r>
    </w:p>
    <w:p w14:paraId="488BF7C5">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接口数据可以按照医院要求方式进行导出、转换。</w:t>
      </w:r>
    </w:p>
    <w:p w14:paraId="1E9212E6">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接口设计以方便以后业务的扩展和系统扩容为目标，充分保护系统的投资。</w:t>
      </w:r>
    </w:p>
    <w:p w14:paraId="2CF24504">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接口可向分院或合作医院扩展，支持多院区应用，支持多院区间数据共享。</w:t>
      </w:r>
    </w:p>
    <w:p w14:paraId="6AB5159B">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强大的可扩展性，由于是基于组件和工作流管理的系统，通过定制不同的组件，可将不同的组件配置成功能不同的工作流，组成不同的科室工作站。能够非常好地适应环境和业务功能的变化，同时也允许用户改变或完善正在使用的流程。</w:t>
      </w:r>
    </w:p>
    <w:p w14:paraId="582E581F">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sz w:val="24"/>
          <w:szCs w:val="24"/>
        </w:rPr>
      </w:pPr>
      <w:bookmarkStart w:id="73" w:name="_Toc227386076"/>
      <w:bookmarkStart w:id="74" w:name="_Toc394907707"/>
      <w:bookmarkStart w:id="75" w:name="_Toc203883318"/>
      <w:bookmarkStart w:id="76" w:name="_Toc394906685"/>
      <w:bookmarkStart w:id="77" w:name="_Toc37496442"/>
      <w:bookmarkStart w:id="78" w:name="_Toc394905657"/>
      <w:bookmarkStart w:id="79" w:name="_Toc394907453"/>
      <w:bookmarkStart w:id="80" w:name="_Toc394907199"/>
      <w:bookmarkStart w:id="81" w:name="_Toc394906945"/>
      <w:bookmarkStart w:id="82" w:name="_Toc266705355"/>
      <w:r>
        <w:rPr>
          <w:rFonts w:hint="eastAsia" w:ascii="仿宋" w:hAnsi="仿宋" w:eastAsia="仿宋" w:cs="仿宋"/>
          <w:b/>
          <w:sz w:val="24"/>
          <w:szCs w:val="24"/>
        </w:rPr>
        <w:t>第二：运行成熟性和稳定性</w:t>
      </w:r>
      <w:bookmarkEnd w:id="73"/>
      <w:bookmarkEnd w:id="74"/>
      <w:bookmarkEnd w:id="75"/>
      <w:bookmarkEnd w:id="76"/>
      <w:bookmarkEnd w:id="77"/>
      <w:bookmarkEnd w:id="78"/>
      <w:bookmarkEnd w:id="79"/>
      <w:bookmarkEnd w:id="80"/>
      <w:bookmarkEnd w:id="81"/>
      <w:bookmarkEnd w:id="82"/>
    </w:p>
    <w:p w14:paraId="088F8E29">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保证“7天24小时”安全运行。</w:t>
      </w:r>
    </w:p>
    <w:p w14:paraId="46D2E0B0">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产品成熟，并经过运行考验，有数家大型三甲医院成功运行经验。</w:t>
      </w:r>
    </w:p>
    <w:p w14:paraId="7271D6E9">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保证各环节业务数据与统计报表数据准确。</w:t>
      </w:r>
    </w:p>
    <w:p w14:paraId="2A7AF803">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运行平台：UNIX、Windows。</w:t>
      </w:r>
    </w:p>
    <w:p w14:paraId="12D3DFC5">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sz w:val="24"/>
          <w:szCs w:val="24"/>
        </w:rPr>
      </w:pPr>
      <w:bookmarkStart w:id="83" w:name="_Toc394905658"/>
      <w:bookmarkStart w:id="84" w:name="_Toc394907708"/>
      <w:bookmarkStart w:id="85" w:name="_Toc394907200"/>
      <w:bookmarkStart w:id="86" w:name="_Toc394907454"/>
      <w:bookmarkStart w:id="87" w:name="_Toc203883319"/>
      <w:bookmarkStart w:id="88" w:name="_Toc227386077"/>
      <w:bookmarkStart w:id="89" w:name="_Toc394906686"/>
      <w:bookmarkStart w:id="90" w:name="_Toc37496443"/>
      <w:bookmarkStart w:id="91" w:name="_Toc266705356"/>
      <w:bookmarkStart w:id="92" w:name="_Toc394906946"/>
      <w:r>
        <w:rPr>
          <w:rFonts w:hint="eastAsia" w:ascii="仿宋" w:hAnsi="仿宋" w:eastAsia="仿宋" w:cs="仿宋"/>
          <w:b/>
          <w:sz w:val="24"/>
          <w:szCs w:val="24"/>
        </w:rPr>
        <w:t>第三：数据安全性</w:t>
      </w:r>
      <w:bookmarkEnd w:id="83"/>
      <w:bookmarkEnd w:id="84"/>
      <w:bookmarkEnd w:id="85"/>
      <w:bookmarkEnd w:id="86"/>
      <w:bookmarkEnd w:id="87"/>
      <w:bookmarkEnd w:id="88"/>
      <w:bookmarkEnd w:id="89"/>
      <w:bookmarkEnd w:id="90"/>
      <w:bookmarkEnd w:id="91"/>
      <w:bookmarkEnd w:id="92"/>
    </w:p>
    <w:p w14:paraId="3C785363">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数据库有完善的备份功能（Shadow）。</w:t>
      </w:r>
    </w:p>
    <w:p w14:paraId="201E1AEE">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支持数据自动定期备份，并支持备份到独立的数据中心或磁带库，有备份记录。</w:t>
      </w:r>
    </w:p>
    <w:p w14:paraId="252DA0C5">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系统有完备的断点恢复功能。</w:t>
      </w:r>
    </w:p>
    <w:p w14:paraId="6EC462D0">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提供重要数据修改全程监控。</w:t>
      </w:r>
    </w:p>
    <w:p w14:paraId="1756767C">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对于重要数据，系统只能提供有痕迹的更正功能。</w:t>
      </w:r>
    </w:p>
    <w:p w14:paraId="5D057B24">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提供错误日志。</w:t>
      </w:r>
    </w:p>
    <w:p w14:paraId="4DCB84B4">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提供系统运行日志。</w:t>
      </w:r>
    </w:p>
    <w:p w14:paraId="731B7581">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丰富的安全管理机制。系统安全分为：系统级、安全组级、用户级和业务工作流级别。</w:t>
      </w:r>
    </w:p>
    <w:p w14:paraId="707D221A">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系统级控制：任何一位用户登录系统都必须输入用户密码进行验证，当用户第一次登录时系统强制用户更换新密码保障密码不外泄，且系统密码具有强制有效期功能要求用户定期更换。所有系统验证数据的传输均采用当今流行的SSL加密技术进行加密，保障数据传输安全可靠性。</w:t>
      </w:r>
    </w:p>
    <w:p w14:paraId="6A7E3927">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安全组级控制：当用户通过系统级别验证成功后系统随即根据其所属安全组的授权分配用户系统功能组件和菜单定义，用户只准在其安全组定义的范围内部进行操作。安全组授权控制的范围包括：界面是否显示、界面内容元素（文本、选择框、多选框、按钮或链接）和信息是否显示、菜单是否显示或允许点击等等。</w:t>
      </w:r>
    </w:p>
    <w:p w14:paraId="23323C01">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用户级别控制：除了安全组定义进行安全控制以外，系统也可以根据用户级别定义的界面权限控制其访问的界面元素内容和访问数据权限。</w:t>
      </w:r>
    </w:p>
    <w:p w14:paraId="1661F6ED">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工作流安全控制：通过工作流管理器进行安全控制，将用户权限和所执行的业务流程联系在一起，这使系统可以根据不同业务区分用户在安全授权上面的权限，大大增强系统安全控制能力。例如：在同一个安全组的不同用户，彼此执行相同业务流程所能处理的数据权限可以不同；即便同一个用户在执行不同业务流程时候，对于同一个业务对象的处理权限和数据读写权限也可以不同。</w:t>
      </w:r>
    </w:p>
    <w:p w14:paraId="04F64FF0">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数据访问跟踪（Audit）控制：提供对于所有业务对象的增、删、改、查的监控功能，可以随时根据定义捕捉到数据访问的跟踪信息并提供相关报表。例如：用户一旦访问阅读某个页面即可别系统记录其访问信息，用户一旦更新修改某些信息也相应会记录在系统跟踪日志里面。</w:t>
      </w:r>
    </w:p>
    <w:p w14:paraId="7DFC981F">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系统支持多种外部硬件设备验证连接，例如：指纹或其它生物安全验证设备、卡或其它数字安全验证设备（SwipeCards、ProximityPasses等）。</w:t>
      </w:r>
    </w:p>
    <w:p w14:paraId="0456D7D6">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sz w:val="24"/>
          <w:szCs w:val="24"/>
        </w:rPr>
      </w:pPr>
      <w:bookmarkStart w:id="93" w:name="_Toc394906947"/>
      <w:bookmarkStart w:id="94" w:name="_Toc37496444"/>
      <w:bookmarkStart w:id="95" w:name="_Toc266705357"/>
      <w:bookmarkStart w:id="96" w:name="_Toc227386078"/>
      <w:bookmarkStart w:id="97" w:name="_Toc394906687"/>
      <w:bookmarkStart w:id="98" w:name="_Toc394907455"/>
      <w:bookmarkStart w:id="99" w:name="_Toc394905659"/>
      <w:bookmarkStart w:id="100" w:name="_Toc203883320"/>
      <w:bookmarkStart w:id="101" w:name="_Toc394907201"/>
      <w:bookmarkStart w:id="102" w:name="_Toc394907709"/>
      <w:r>
        <w:rPr>
          <w:rFonts w:hint="eastAsia" w:ascii="仿宋" w:hAnsi="仿宋" w:eastAsia="仿宋" w:cs="仿宋"/>
          <w:b/>
          <w:sz w:val="24"/>
          <w:szCs w:val="24"/>
        </w:rPr>
        <w:t>第四：</w:t>
      </w:r>
      <w:bookmarkEnd w:id="93"/>
      <w:bookmarkEnd w:id="94"/>
      <w:bookmarkEnd w:id="95"/>
      <w:bookmarkEnd w:id="96"/>
      <w:bookmarkEnd w:id="97"/>
      <w:bookmarkEnd w:id="98"/>
      <w:bookmarkEnd w:id="99"/>
      <w:bookmarkEnd w:id="100"/>
      <w:bookmarkEnd w:id="101"/>
      <w:bookmarkEnd w:id="102"/>
      <w:bookmarkStart w:id="103" w:name="_Toc37496445"/>
      <w:bookmarkStart w:id="104" w:name="_Toc203883321"/>
      <w:bookmarkStart w:id="105" w:name="_Toc394907710"/>
      <w:bookmarkStart w:id="106" w:name="_Toc394906948"/>
      <w:bookmarkStart w:id="107" w:name="_Toc394906688"/>
      <w:bookmarkStart w:id="108" w:name="_Toc394905660"/>
      <w:bookmarkStart w:id="109" w:name="_Toc394907456"/>
      <w:bookmarkStart w:id="110" w:name="_Toc266705358"/>
      <w:bookmarkStart w:id="111" w:name="_Toc394907202"/>
      <w:bookmarkStart w:id="112" w:name="_Toc227386079"/>
      <w:r>
        <w:rPr>
          <w:rFonts w:hint="eastAsia" w:ascii="仿宋" w:hAnsi="仿宋" w:eastAsia="仿宋" w:cs="仿宋"/>
          <w:b/>
          <w:sz w:val="24"/>
          <w:szCs w:val="24"/>
        </w:rPr>
        <w:t>响应及时性</w:t>
      </w:r>
      <w:bookmarkEnd w:id="103"/>
      <w:bookmarkEnd w:id="104"/>
      <w:bookmarkEnd w:id="105"/>
      <w:bookmarkEnd w:id="106"/>
      <w:bookmarkEnd w:id="107"/>
      <w:bookmarkEnd w:id="108"/>
      <w:bookmarkEnd w:id="109"/>
      <w:bookmarkEnd w:id="110"/>
      <w:bookmarkEnd w:id="111"/>
      <w:bookmarkEnd w:id="112"/>
    </w:p>
    <w:p w14:paraId="77C7D904">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系统对海量事务处理数据表应该实时（例如一周）、近线（例如一年）、离线的表结构设计，实时处理面对的是一个记录条数相对稳定的表。</w:t>
      </w:r>
    </w:p>
    <w:p w14:paraId="4F921C6D">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前台所有业务均能方便地在实时、近线两个不同的数据集上实施操作。</w:t>
      </w:r>
    </w:p>
    <w:p w14:paraId="13C3C2AB">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系统有专门服务于大数据量统计的数据库、表结构设计，使得此类操作不影响实时业务处理的响应时间。</w:t>
      </w:r>
    </w:p>
    <w:p w14:paraId="5667D12F">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bookmarkStart w:id="113" w:name="_Toc227386080"/>
      <w:bookmarkStart w:id="114" w:name="_Toc394905661"/>
      <w:bookmarkStart w:id="115" w:name="_Toc394907711"/>
      <w:bookmarkStart w:id="116" w:name="_Toc394907203"/>
      <w:bookmarkStart w:id="117" w:name="_Toc203883322"/>
      <w:bookmarkStart w:id="118" w:name="_Toc394906689"/>
      <w:bookmarkStart w:id="119" w:name="_Toc394906949"/>
      <w:bookmarkStart w:id="120" w:name="_Toc266705359"/>
      <w:bookmarkStart w:id="121" w:name="_Toc394907457"/>
      <w:bookmarkStart w:id="122" w:name="_Toc37496446"/>
      <w:r>
        <w:rPr>
          <w:rFonts w:hint="eastAsia" w:ascii="仿宋" w:hAnsi="仿宋" w:eastAsia="仿宋" w:cs="仿宋"/>
          <w:b/>
          <w:sz w:val="24"/>
          <w:szCs w:val="24"/>
        </w:rPr>
        <w:t>第</w:t>
      </w:r>
      <w:bookmarkEnd w:id="113"/>
      <w:bookmarkEnd w:id="114"/>
      <w:bookmarkEnd w:id="115"/>
      <w:bookmarkEnd w:id="116"/>
      <w:bookmarkEnd w:id="117"/>
      <w:bookmarkEnd w:id="118"/>
      <w:bookmarkEnd w:id="119"/>
      <w:bookmarkEnd w:id="120"/>
      <w:bookmarkEnd w:id="121"/>
      <w:bookmarkEnd w:id="122"/>
      <w:r>
        <w:rPr>
          <w:rFonts w:hint="eastAsia" w:ascii="仿宋" w:hAnsi="仿宋" w:eastAsia="仿宋" w:cs="仿宋"/>
          <w:b/>
          <w:sz w:val="24"/>
          <w:szCs w:val="24"/>
        </w:rPr>
        <w:t>五：</w:t>
      </w:r>
      <w:bookmarkStart w:id="123" w:name="_Toc266705360"/>
      <w:bookmarkStart w:id="124" w:name="_Toc227386081"/>
      <w:bookmarkStart w:id="125" w:name="_Toc394907204"/>
      <w:bookmarkStart w:id="126" w:name="_Toc203883323"/>
      <w:bookmarkStart w:id="127" w:name="_Toc394907458"/>
      <w:bookmarkStart w:id="128" w:name="_Toc394905662"/>
      <w:bookmarkStart w:id="129" w:name="_Toc37496447"/>
      <w:bookmarkStart w:id="130" w:name="_Toc394906950"/>
      <w:bookmarkStart w:id="131" w:name="_Toc394907712"/>
      <w:bookmarkStart w:id="132" w:name="_Toc394906690"/>
      <w:r>
        <w:rPr>
          <w:rFonts w:hint="eastAsia" w:ascii="仿宋" w:hAnsi="仿宋" w:eastAsia="仿宋" w:cs="仿宋"/>
          <w:b/>
          <w:sz w:val="24"/>
          <w:szCs w:val="24"/>
        </w:rPr>
        <w:t>操作方便性</w:t>
      </w:r>
      <w:bookmarkEnd w:id="123"/>
      <w:bookmarkEnd w:id="124"/>
      <w:bookmarkEnd w:id="125"/>
      <w:bookmarkEnd w:id="126"/>
      <w:bookmarkEnd w:id="127"/>
      <w:bookmarkEnd w:id="128"/>
      <w:bookmarkEnd w:id="129"/>
      <w:bookmarkEnd w:id="130"/>
      <w:bookmarkEnd w:id="131"/>
      <w:bookmarkEnd w:id="132"/>
    </w:p>
    <w:p w14:paraId="7EABE317">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操作界面友善，操作清晰、方便、易于掌握，符合操作人员的工作习惯。</w:t>
      </w:r>
    </w:p>
    <w:p w14:paraId="3EB0FE7E">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提供录入模板，以提高操作员的录入速度。</w:t>
      </w:r>
    </w:p>
    <w:p w14:paraId="43B03C2F">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录入操作时提供各类字典提示功能。</w:t>
      </w:r>
    </w:p>
    <w:p w14:paraId="25ED319B">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提供多种输入方式，以适应掌握不同输入方式的操作员操作。</w:t>
      </w:r>
    </w:p>
    <w:p w14:paraId="05BA89D7">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各个系统操作有联机帮助功能。</w:t>
      </w:r>
    </w:p>
    <w:p w14:paraId="2EBA5410">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用户界面采用统一的标准。管理功能提供统一的界面编辑工具,使用户能够不用修改程序而是通过统一的工具定义界面，保证了界面风格的统一。除了界面风格统一，系统管理的图标组件可为某个对象的不同状态、不同条件定义使用不同的图标，使界面更加美观、易用。</w:t>
      </w:r>
    </w:p>
    <w:p w14:paraId="1DDEEEAC">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每个界面提供在线帮助文档。界面编辑工具允许用户修改，编写在线文档和上下文帮助。</w:t>
      </w:r>
    </w:p>
    <w:p w14:paraId="21853637">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支持使用不同语言的用户同时使用系统，系统管理的翻译组件提供将同一个界面为不同用户翻译为他的相应语言的强大功能。</w:t>
      </w:r>
    </w:p>
    <w:p w14:paraId="626AE404">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sz w:val="24"/>
          <w:szCs w:val="24"/>
        </w:rPr>
      </w:pPr>
      <w:bookmarkStart w:id="133" w:name="_Toc394906951"/>
      <w:bookmarkStart w:id="134" w:name="_Toc266705361"/>
      <w:bookmarkStart w:id="135" w:name="_Toc37496448"/>
      <w:bookmarkStart w:id="136" w:name="_Toc394906691"/>
      <w:bookmarkStart w:id="137" w:name="_Toc203883324"/>
      <w:bookmarkStart w:id="138" w:name="_Toc394907459"/>
      <w:bookmarkStart w:id="139" w:name="_Toc394905663"/>
      <w:bookmarkStart w:id="140" w:name="_Toc394907205"/>
      <w:bookmarkStart w:id="141" w:name="_Toc227386082"/>
      <w:bookmarkStart w:id="142" w:name="_Toc394907713"/>
      <w:r>
        <w:rPr>
          <w:rFonts w:hint="eastAsia" w:ascii="仿宋" w:hAnsi="仿宋" w:eastAsia="仿宋" w:cs="仿宋"/>
          <w:b/>
          <w:sz w:val="24"/>
          <w:szCs w:val="24"/>
        </w:rPr>
        <w:t>第六：字典标准性</w:t>
      </w:r>
      <w:bookmarkEnd w:id="133"/>
      <w:bookmarkEnd w:id="134"/>
      <w:bookmarkEnd w:id="135"/>
      <w:bookmarkEnd w:id="136"/>
      <w:bookmarkEnd w:id="137"/>
      <w:bookmarkEnd w:id="138"/>
      <w:bookmarkEnd w:id="139"/>
      <w:bookmarkEnd w:id="140"/>
      <w:bookmarkEnd w:id="141"/>
      <w:bookmarkEnd w:id="142"/>
    </w:p>
    <w:p w14:paraId="4EDE7290">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采用标准字典体系（国家、国际、部颁标准）。</w:t>
      </w:r>
    </w:p>
    <w:p w14:paraId="7799D28B">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各部门维护各自负责的字典，其他使用部门对字典仅有读的权限，无增、删、改权限。</w:t>
      </w:r>
    </w:p>
    <w:p w14:paraId="35089991">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一类字典在一处一次维护，与它相关的字典保持数据的一致。</w:t>
      </w:r>
    </w:p>
    <w:p w14:paraId="5A75ED3C">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药品目录与医保目录有对照表，诊疗目录与医保目录有对照表。</w:t>
      </w:r>
    </w:p>
    <w:p w14:paraId="3026108E">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sz w:val="24"/>
          <w:szCs w:val="24"/>
        </w:rPr>
      </w:pPr>
      <w:bookmarkStart w:id="143" w:name="_Toc203883325"/>
      <w:bookmarkStart w:id="144" w:name="_Toc227386083"/>
      <w:bookmarkStart w:id="145" w:name="_Toc37496449"/>
      <w:bookmarkStart w:id="146" w:name="_Toc394906692"/>
      <w:bookmarkStart w:id="147" w:name="_Toc394905664"/>
      <w:bookmarkStart w:id="148" w:name="_Toc394907206"/>
      <w:bookmarkStart w:id="149" w:name="_Toc394907714"/>
      <w:bookmarkStart w:id="150" w:name="_Toc394907460"/>
      <w:bookmarkStart w:id="151" w:name="_Toc266705362"/>
      <w:bookmarkStart w:id="152" w:name="_Toc394906952"/>
      <w:r>
        <w:rPr>
          <w:rFonts w:hint="eastAsia" w:ascii="仿宋" w:hAnsi="仿宋" w:eastAsia="仿宋" w:cs="仿宋"/>
          <w:b/>
          <w:sz w:val="24"/>
          <w:szCs w:val="24"/>
        </w:rPr>
        <w:t>第七：接口可集成性</w:t>
      </w:r>
      <w:bookmarkEnd w:id="143"/>
      <w:bookmarkEnd w:id="144"/>
      <w:bookmarkEnd w:id="145"/>
      <w:bookmarkEnd w:id="146"/>
      <w:bookmarkEnd w:id="147"/>
      <w:bookmarkEnd w:id="148"/>
      <w:bookmarkEnd w:id="149"/>
      <w:bookmarkEnd w:id="150"/>
      <w:bookmarkEnd w:id="151"/>
      <w:bookmarkEnd w:id="152"/>
    </w:p>
    <w:p w14:paraId="78337249">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接口配置管理功能中的接口组件，可配置与多个外部系统同时通过TCP/IP链路以及消息机制进行连接。支持下述HL7功能：</w:t>
      </w:r>
    </w:p>
    <w:p w14:paraId="00E0B9B7">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接收原子(Atomic)、影像、或文本结果；</w:t>
      </w:r>
    </w:p>
    <w:p w14:paraId="1604A37F">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向远端系统主动发送病人ADT信息；</w:t>
      </w:r>
    </w:p>
    <w:p w14:paraId="6E038EAE">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响应远端系统的查询请求。</w:t>
      </w:r>
    </w:p>
    <w:p w14:paraId="539E06AC">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sz w:val="24"/>
          <w:szCs w:val="24"/>
        </w:rPr>
      </w:pPr>
      <w:bookmarkStart w:id="153" w:name="_Toc394906953"/>
      <w:bookmarkStart w:id="154" w:name="_Toc266705363"/>
      <w:bookmarkStart w:id="155" w:name="_Toc394906693"/>
      <w:bookmarkStart w:id="156" w:name="_Toc394907207"/>
      <w:bookmarkStart w:id="157" w:name="_Toc394907461"/>
      <w:bookmarkStart w:id="158" w:name="_Toc227386084"/>
      <w:bookmarkStart w:id="159" w:name="_Toc203883326"/>
      <w:bookmarkStart w:id="160" w:name="_Toc37496450"/>
      <w:bookmarkStart w:id="161" w:name="_Toc394905665"/>
      <w:bookmarkStart w:id="162" w:name="_Toc394907715"/>
      <w:r>
        <w:rPr>
          <w:rFonts w:hint="eastAsia" w:ascii="仿宋" w:hAnsi="仿宋" w:eastAsia="仿宋" w:cs="仿宋"/>
          <w:b/>
          <w:sz w:val="24"/>
          <w:szCs w:val="24"/>
        </w:rPr>
        <w:t>第八：接口可维护和可升级性</w:t>
      </w:r>
      <w:bookmarkEnd w:id="153"/>
      <w:bookmarkEnd w:id="154"/>
      <w:bookmarkEnd w:id="155"/>
      <w:bookmarkEnd w:id="156"/>
      <w:bookmarkEnd w:id="157"/>
      <w:bookmarkEnd w:id="158"/>
      <w:bookmarkEnd w:id="159"/>
      <w:bookmarkEnd w:id="160"/>
      <w:bookmarkEnd w:id="161"/>
      <w:bookmarkEnd w:id="162"/>
    </w:p>
    <w:p w14:paraId="53435FEC">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需具有强大的系统管理和维护功能。使用系统核心模块可方便地对系统的各个参数、安全性、功能流程等进行统一维护、定义。</w:t>
      </w:r>
    </w:p>
    <w:p w14:paraId="6FA65B98">
      <w:pPr>
        <w:pStyle w:val="40"/>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需提供统一、操作简单的升级工具能够安全快速地升级系统。</w:t>
      </w:r>
    </w:p>
    <w:p w14:paraId="4B5CACB2">
      <w:pPr>
        <w:numPr>
          <w:ilvl w:val="0"/>
          <w:numId w:val="0"/>
        </w:numPr>
        <w:spacing w:line="340" w:lineRule="exact"/>
        <w:ind w:leftChars="0"/>
        <w:rPr>
          <w:rFonts w:hint="eastAsia" w:asciiTheme="minorEastAsia" w:hAnsiTheme="minorEastAsia" w:eastAsiaTheme="minorEastAsia" w:cstheme="minorEastAsia"/>
          <w:b w:val="0"/>
          <w:bCs w:val="0"/>
          <w:sz w:val="24"/>
          <w:szCs w:val="24"/>
          <w:lang w:val="en-US" w:eastAsia="zh-CN"/>
        </w:rPr>
      </w:pPr>
    </w:p>
    <w:p w14:paraId="449A7D2F">
      <w:pPr>
        <w:pStyle w:val="6"/>
        <w:rPr>
          <w:rFonts w:hint="eastAsia" w:ascii="仿宋" w:hAnsi="仿宋" w:eastAsia="仿宋" w:cs="仿宋"/>
          <w:b/>
          <w:bCs w:val="0"/>
          <w:kern w:val="2"/>
          <w:sz w:val="24"/>
          <w:szCs w:val="24"/>
          <w:lang w:val="en-US" w:eastAsia="zh-CN" w:bidi="ar-SA"/>
        </w:rPr>
      </w:pPr>
    </w:p>
    <w:p w14:paraId="0001E5DE">
      <w:pPr>
        <w:jc w:val="center"/>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（三）商务要求</w:t>
      </w:r>
    </w:p>
    <w:bookmarkEnd w:id="0"/>
    <w:p w14:paraId="640A5B44">
      <w:pPr>
        <w:tabs>
          <w:tab w:val="left" w:pos="1050"/>
        </w:tabs>
        <w:spacing w:line="460" w:lineRule="exact"/>
        <w:jc w:val="center"/>
        <w:outlineLvl w:val="2"/>
        <w:rPr>
          <w:rFonts w:hint="eastAsia" w:ascii="仿宋" w:hAnsi="仿宋" w:eastAsia="仿宋" w:cs="仿宋"/>
          <w:b/>
          <w:bCs w:val="0"/>
          <w:color w:val="FF0000"/>
          <w:kern w:val="2"/>
          <w:sz w:val="24"/>
          <w:szCs w:val="24"/>
          <w:highlight w:val="yellow"/>
          <w:lang w:val="en-US" w:eastAsia="zh-CN" w:bidi="ar-SA"/>
        </w:rPr>
      </w:pPr>
      <w:r>
        <w:rPr>
          <w:rFonts w:hint="eastAsia" w:ascii="仿宋" w:hAnsi="仿宋" w:eastAsia="仿宋" w:cs="仿宋"/>
          <w:b/>
          <w:bCs w:val="0"/>
          <w:color w:val="FF0000"/>
          <w:kern w:val="2"/>
          <w:sz w:val="24"/>
          <w:szCs w:val="24"/>
          <w:highlight w:val="yellow"/>
          <w:lang w:val="en-US" w:eastAsia="zh-CN" w:bidi="ar-SA"/>
        </w:rPr>
        <w:t>（本项目商务要求为不允许负偏离的实质性要求和条件）</w:t>
      </w:r>
    </w:p>
    <w:p w14:paraId="76014427">
      <w:pPr>
        <w:spacing w:line="520" w:lineRule="exact"/>
        <w:ind w:firstLine="480" w:firstLineChars="200"/>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1、</w:t>
      </w:r>
      <w:r>
        <w:rPr>
          <w:rFonts w:hint="eastAsia" w:ascii="仿宋" w:hAnsi="仿宋" w:eastAsia="仿宋" w:cs="仿宋"/>
          <w:kern w:val="2"/>
          <w:sz w:val="24"/>
          <w:szCs w:val="24"/>
          <w:lang w:val="zh-CN" w:eastAsia="zh-CN" w:bidi="ar-SA"/>
        </w:rPr>
        <w:t>服务时间（期限）：</w:t>
      </w:r>
      <w:r>
        <w:rPr>
          <w:rFonts w:hint="eastAsia" w:ascii="仿宋" w:hAnsi="仿宋" w:eastAsia="仿宋" w:cs="仿宋"/>
          <w:kern w:val="2"/>
          <w:sz w:val="24"/>
          <w:szCs w:val="24"/>
          <w:lang w:val="en-US" w:eastAsia="zh-CN" w:bidi="ar-SA"/>
        </w:rPr>
        <w:t>接采购人通知后</w:t>
      </w:r>
      <w:r>
        <w:rPr>
          <w:rFonts w:hint="eastAsia" w:ascii="仿宋" w:hAnsi="仿宋" w:eastAsia="仿宋" w:cs="仿宋"/>
          <w:kern w:val="2"/>
          <w:sz w:val="24"/>
          <w:szCs w:val="24"/>
          <w:lang w:val="zh-CN" w:eastAsia="zh-CN" w:bidi="ar-SA"/>
        </w:rPr>
        <w:t>须在</w:t>
      </w:r>
      <w:r>
        <w:rPr>
          <w:rFonts w:hint="eastAsia" w:ascii="仿宋" w:hAnsi="仿宋" w:eastAsia="仿宋" w:cs="仿宋"/>
          <w:kern w:val="2"/>
          <w:sz w:val="24"/>
          <w:szCs w:val="24"/>
          <w:lang w:val="en-US" w:eastAsia="zh-CN" w:bidi="ar-SA"/>
        </w:rPr>
        <w:t>60个日历日</w:t>
      </w:r>
      <w:r>
        <w:rPr>
          <w:rFonts w:hint="eastAsia" w:ascii="仿宋" w:hAnsi="仿宋" w:eastAsia="仿宋" w:cs="仿宋"/>
          <w:kern w:val="2"/>
          <w:sz w:val="24"/>
          <w:szCs w:val="24"/>
          <w:lang w:val="zh-CN" w:eastAsia="zh-CN" w:bidi="ar-SA"/>
        </w:rPr>
        <w:t>内完成所有系统的需求调研、系统开发、安装调试及产品培训与验收交付工作。</w:t>
      </w:r>
    </w:p>
    <w:p w14:paraId="55B41D60">
      <w:pPr>
        <w:spacing w:line="520" w:lineRule="exact"/>
        <w:ind w:firstLine="480" w:firstLineChars="200"/>
        <w:outlineLvl w:val="0"/>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2</w:t>
      </w:r>
      <w:r>
        <w:rPr>
          <w:rFonts w:hint="eastAsia" w:ascii="仿宋" w:hAnsi="仿宋" w:eastAsia="仿宋" w:cs="仿宋"/>
          <w:kern w:val="2"/>
          <w:sz w:val="24"/>
          <w:szCs w:val="24"/>
          <w:lang w:val="zh-CN" w:eastAsia="zh-CN" w:bidi="ar-SA"/>
        </w:rPr>
        <w:t>、服务地点：马鞍山市</w:t>
      </w:r>
      <w:r>
        <w:rPr>
          <w:rFonts w:hint="eastAsia" w:ascii="仿宋" w:hAnsi="仿宋" w:eastAsia="仿宋" w:cs="仿宋"/>
          <w:kern w:val="2"/>
          <w:sz w:val="24"/>
          <w:szCs w:val="24"/>
          <w:lang w:val="en-US" w:eastAsia="zh-CN" w:bidi="ar-SA"/>
        </w:rPr>
        <w:t>中医院</w:t>
      </w:r>
      <w:r>
        <w:rPr>
          <w:rFonts w:hint="eastAsia" w:ascii="仿宋" w:hAnsi="仿宋" w:eastAsia="仿宋" w:cs="仿宋"/>
          <w:kern w:val="2"/>
          <w:sz w:val="24"/>
          <w:szCs w:val="24"/>
          <w:lang w:val="zh-CN" w:eastAsia="zh-CN" w:bidi="ar-SA"/>
        </w:rPr>
        <w:t>（招标人指定地点）。</w:t>
      </w:r>
    </w:p>
    <w:p w14:paraId="02810B5E">
      <w:pPr>
        <w:spacing w:line="520" w:lineRule="exact"/>
        <w:ind w:firstLine="480" w:firstLineChars="200"/>
        <w:outlineLvl w:val="0"/>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w:t>
      </w:r>
      <w:r>
        <w:rPr>
          <w:rFonts w:hint="eastAsia" w:ascii="仿宋" w:hAnsi="仿宋" w:eastAsia="仿宋" w:cs="仿宋"/>
          <w:kern w:val="2"/>
          <w:sz w:val="24"/>
          <w:szCs w:val="24"/>
          <w:lang w:val="zh-CN" w:eastAsia="zh-CN" w:bidi="ar-SA"/>
        </w:rPr>
        <w:t>、质保期限：</w:t>
      </w:r>
      <w:r>
        <w:rPr>
          <w:rFonts w:hint="eastAsia" w:ascii="仿宋" w:hAnsi="仿宋" w:eastAsia="仿宋" w:cs="仿宋"/>
          <w:kern w:val="2"/>
          <w:sz w:val="24"/>
          <w:szCs w:val="24"/>
          <w:lang w:val="en-US" w:eastAsia="zh-CN" w:bidi="ar-SA"/>
        </w:rPr>
        <w:t>自验收合格之日起3年。</w:t>
      </w:r>
    </w:p>
    <w:p w14:paraId="6D2AC98A">
      <w:pPr>
        <w:spacing w:line="460" w:lineRule="exact"/>
        <w:ind w:firstLine="480" w:firstLineChars="200"/>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w:t>
      </w:r>
      <w:r>
        <w:rPr>
          <w:rFonts w:hint="eastAsia" w:ascii="仿宋" w:hAnsi="仿宋" w:eastAsia="仿宋" w:cs="仿宋"/>
          <w:kern w:val="2"/>
          <w:sz w:val="24"/>
          <w:szCs w:val="24"/>
          <w:lang w:val="zh-CN" w:eastAsia="zh-CN" w:bidi="ar-SA"/>
        </w:rPr>
        <w:t>付款方式：</w:t>
      </w:r>
      <w:r>
        <w:rPr>
          <w:rFonts w:hint="eastAsia" w:ascii="仿宋" w:hAnsi="仿宋" w:eastAsia="仿宋" w:cs="仿宋"/>
          <w:kern w:val="2"/>
          <w:sz w:val="24"/>
          <w:szCs w:val="24"/>
          <w:lang w:val="en-US" w:eastAsia="zh-CN" w:bidi="ar-SA"/>
        </w:rPr>
        <w:t>验收合格之日起30个工作日内支付合同金额90%，质保期满30个工作日内支付剩余合同金额10%。</w:t>
      </w:r>
    </w:p>
    <w:p w14:paraId="3FF4C80A">
      <w:pPr>
        <w:spacing w:line="460" w:lineRule="exact"/>
        <w:ind w:firstLine="480" w:firstLineChars="200"/>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6</w:t>
      </w:r>
      <w:r>
        <w:rPr>
          <w:rFonts w:hint="default" w:ascii="仿宋" w:hAnsi="仿宋" w:eastAsia="仿宋" w:cs="仿宋"/>
          <w:kern w:val="2"/>
          <w:sz w:val="24"/>
          <w:szCs w:val="24"/>
          <w:lang w:val="zh-CN" w:eastAsia="zh-CN" w:bidi="ar-SA"/>
        </w:rPr>
        <w:t>、</w:t>
      </w:r>
      <w:r>
        <w:rPr>
          <w:rFonts w:hint="eastAsia" w:ascii="仿宋" w:hAnsi="仿宋" w:eastAsia="仿宋" w:cs="仿宋"/>
          <w:kern w:val="2"/>
          <w:sz w:val="24"/>
          <w:szCs w:val="24"/>
          <w:lang w:val="zh-CN" w:eastAsia="zh-CN" w:bidi="ar-SA"/>
        </w:rPr>
        <w:t>成交供应商在项目实施过程中，国家对相关项目有资质要求的，进场单位和人员的资质、资格符合国家、省、市有关规定。实施期间成交供应商所发生的或成交供应商实施场地内发生的或成交供应商原因造成的安全事故，均应由成交供应商负责按有关规定处理善后事宜，并承担给采购人造成的损失。</w:t>
      </w:r>
    </w:p>
    <w:p w14:paraId="75535460">
      <w:pPr>
        <w:spacing w:line="460" w:lineRule="exact"/>
        <w:ind w:firstLine="480" w:firstLineChars="200"/>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8</w:t>
      </w:r>
      <w:r>
        <w:rPr>
          <w:rFonts w:hint="default" w:ascii="仿宋" w:hAnsi="仿宋" w:eastAsia="仿宋" w:cs="仿宋"/>
          <w:kern w:val="2"/>
          <w:sz w:val="24"/>
          <w:szCs w:val="24"/>
          <w:lang w:val="zh-CN" w:eastAsia="zh-CN" w:bidi="ar-SA"/>
        </w:rPr>
        <w:t>、</w:t>
      </w:r>
      <w:r>
        <w:rPr>
          <w:rFonts w:hint="eastAsia" w:ascii="仿宋" w:hAnsi="仿宋" w:eastAsia="仿宋" w:cs="仿宋"/>
          <w:kern w:val="2"/>
          <w:sz w:val="24"/>
          <w:szCs w:val="24"/>
          <w:lang w:val="zh-CN" w:eastAsia="zh-CN" w:bidi="ar-SA"/>
        </w:rPr>
        <w:t>投标文件中为本项目配备的人员力量，在合同履行期间，成交供应商须按采购人要求到达本项目现场提供相应服务，否则采购人有权解除采购合同。</w:t>
      </w:r>
    </w:p>
    <w:p w14:paraId="7C0D55A1">
      <w:pPr>
        <w:spacing w:line="520" w:lineRule="exact"/>
        <w:ind w:firstLine="480" w:firstLineChars="200"/>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9、成交供应商须设有运维服务电话，负责解答用户在使用中遇到的问题，及时提出解决问题的建议和操作方法。</w:t>
      </w:r>
    </w:p>
    <w:p w14:paraId="39B9BD02">
      <w:pPr>
        <w:spacing w:line="460" w:lineRule="exact"/>
        <w:ind w:firstLine="480" w:firstLineChars="200"/>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10</w:t>
      </w:r>
      <w:r>
        <w:rPr>
          <w:rFonts w:hint="default" w:ascii="仿宋" w:hAnsi="仿宋" w:eastAsia="仿宋" w:cs="仿宋"/>
          <w:kern w:val="2"/>
          <w:sz w:val="24"/>
          <w:szCs w:val="24"/>
          <w:lang w:val="zh-CN" w:eastAsia="zh-CN" w:bidi="ar-SA"/>
        </w:rPr>
        <w:t>、</w:t>
      </w:r>
      <w:r>
        <w:rPr>
          <w:rFonts w:hint="eastAsia" w:ascii="仿宋" w:hAnsi="仿宋" w:eastAsia="仿宋" w:cs="仿宋"/>
          <w:kern w:val="2"/>
          <w:sz w:val="24"/>
          <w:szCs w:val="24"/>
          <w:lang w:val="zh-CN" w:eastAsia="zh-CN" w:bidi="ar-SA"/>
        </w:rPr>
        <w:t>服务响应时间：成交供应商需设有专门的服务队伍，建立完备的响应机制。如出现服务问题，电话响应无法解决，成交供应商必须在接到电话2小时内到达现场，4小时内解决问题。</w:t>
      </w:r>
    </w:p>
    <w:p w14:paraId="079F1114">
      <w:pPr>
        <w:spacing w:line="460" w:lineRule="exact"/>
        <w:ind w:firstLine="480" w:firstLineChars="200"/>
        <w:rPr>
          <w:rFonts w:hint="default"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11</w:t>
      </w:r>
      <w:r>
        <w:rPr>
          <w:rFonts w:hint="default" w:ascii="仿宋" w:hAnsi="仿宋" w:eastAsia="仿宋" w:cs="仿宋"/>
          <w:kern w:val="2"/>
          <w:sz w:val="24"/>
          <w:szCs w:val="24"/>
          <w:lang w:val="zh-CN" w:eastAsia="zh-CN" w:bidi="ar-SA"/>
        </w:rPr>
        <w:t>、验收：</w:t>
      </w:r>
    </w:p>
    <w:p w14:paraId="2C3DF11A">
      <w:pPr>
        <w:spacing w:line="460" w:lineRule="exact"/>
        <w:ind w:firstLine="480" w:firstLineChars="200"/>
        <w:rPr>
          <w:rFonts w:hint="default"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11</w:t>
      </w:r>
      <w:r>
        <w:rPr>
          <w:rFonts w:hint="default" w:ascii="仿宋" w:hAnsi="仿宋" w:eastAsia="仿宋" w:cs="仿宋"/>
          <w:kern w:val="2"/>
          <w:sz w:val="24"/>
          <w:szCs w:val="24"/>
          <w:lang w:val="zh-CN" w:eastAsia="zh-CN" w:bidi="ar-SA"/>
        </w:rPr>
        <w:t>.1采购人和相关部门按照招标文件和招标响应文件进行验收。招标文件没有规定和招标响应文件没有相应承诺的，按照下列原则进行验收：有国家标准的按照国家标准验收，没有国家标准的按行业标准验收，无行业标准的按地方或企业标准验收，成交投标人予以配合。涉及需要由其他相关行业主管部门验收的项目，采购人须约请相关部门和专家参加项目验收。</w:t>
      </w:r>
    </w:p>
    <w:p w14:paraId="5352C34D">
      <w:pPr>
        <w:spacing w:line="460" w:lineRule="exact"/>
        <w:ind w:firstLine="480" w:firstLineChars="200"/>
        <w:rPr>
          <w:rFonts w:hint="default"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11</w:t>
      </w:r>
      <w:r>
        <w:rPr>
          <w:rFonts w:hint="default" w:ascii="仿宋" w:hAnsi="仿宋" w:eastAsia="仿宋" w:cs="仿宋"/>
          <w:kern w:val="2"/>
          <w:sz w:val="24"/>
          <w:szCs w:val="24"/>
          <w:lang w:val="zh-CN" w:eastAsia="zh-CN" w:bidi="ar-SA"/>
        </w:rPr>
        <w:t>.2采购人及相关行业主管部门对项目进行全面的验收，对验收中暴露出来的问题，成交投标人应及时进行整改，整改后仍达不到验收标准的，采购人有权取消成交投标人资格。</w:t>
      </w:r>
    </w:p>
    <w:p w14:paraId="188079A6">
      <w:pPr>
        <w:spacing w:line="460" w:lineRule="exact"/>
        <w:ind w:firstLine="480" w:firstLineChars="200"/>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12、</w:t>
      </w:r>
      <w:r>
        <w:rPr>
          <w:rFonts w:hint="eastAsia" w:ascii="仿宋" w:hAnsi="仿宋" w:eastAsia="仿宋" w:cs="仿宋"/>
          <w:kern w:val="2"/>
          <w:sz w:val="24"/>
          <w:szCs w:val="24"/>
          <w:lang w:val="zh-CN" w:eastAsia="zh-CN" w:bidi="ar-SA"/>
        </w:rPr>
        <w:t>本项目总投标价包含了交付使用前的全部费用及所有价内价外税金及合理利润等，</w:t>
      </w:r>
      <w:r>
        <w:rPr>
          <w:rFonts w:hint="eastAsia" w:ascii="仿宋" w:hAnsi="仿宋" w:eastAsia="仿宋" w:cs="仿宋"/>
          <w:kern w:val="2"/>
          <w:sz w:val="24"/>
          <w:szCs w:val="24"/>
          <w:lang w:val="en-US" w:eastAsia="zh-CN" w:bidi="ar-SA"/>
        </w:rPr>
        <w:t>不再产生任何二次费用。</w:t>
      </w:r>
    </w:p>
    <w:p w14:paraId="351971EF">
      <w:pPr>
        <w:spacing w:line="460" w:lineRule="exact"/>
        <w:ind w:firstLine="600"/>
        <w:rPr>
          <w:rFonts w:hint="eastAsia" w:ascii="宋体" w:hAnsi="宋体" w:eastAsia="宋体" w:cs="宋体"/>
          <w:sz w:val="24"/>
          <w:lang w:val="en-US" w:eastAsia="zh-CN"/>
        </w:rPr>
      </w:pPr>
    </w:p>
    <w:sectPr>
      <w:headerReference r:id="rId3" w:type="default"/>
      <w:footerReference r:id="rId5" w:type="default"/>
      <w:headerReference r:id="rId4" w:type="even"/>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Plotter">
    <w:altName w:val="Segoe Print"/>
    <w:panose1 w:val="00000000000000000000"/>
    <w:charset w:val="00"/>
    <w:family w:val="roman"/>
    <w:pitch w:val="default"/>
    <w:sig w:usb0="00000000" w:usb1="00000000" w:usb2="0000006E" w:usb3="00000000" w:csb0="00000002" w:csb1="0062E6A4"/>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FDF72">
    <w:pPr>
      <w:pStyle w:val="11"/>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14:paraId="51E737A5">
                <w:pPr>
                  <w:pStyle w:val="11"/>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79717">
    <w:pPr>
      <w:pStyle w:val="12"/>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10D82">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53FCF"/>
    <w:multiLevelType w:val="singleLevel"/>
    <w:tmpl w:val="37753FC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jVjOGUxODk1YzY2NTUxMWVjNzRmZDgxYTIzNjVjOGQifQ=="/>
  </w:docVars>
  <w:rsids>
    <w:rsidRoot w:val="00000000"/>
    <w:rsid w:val="006335AF"/>
    <w:rsid w:val="020A3257"/>
    <w:rsid w:val="03CB7491"/>
    <w:rsid w:val="052A3046"/>
    <w:rsid w:val="05EB0880"/>
    <w:rsid w:val="062E4AEA"/>
    <w:rsid w:val="06CC51B2"/>
    <w:rsid w:val="06E339B1"/>
    <w:rsid w:val="07E96A1E"/>
    <w:rsid w:val="09175C96"/>
    <w:rsid w:val="0A6C6349"/>
    <w:rsid w:val="0B8A6221"/>
    <w:rsid w:val="187263AC"/>
    <w:rsid w:val="1A5A58C9"/>
    <w:rsid w:val="1BE30673"/>
    <w:rsid w:val="1C7F35CF"/>
    <w:rsid w:val="1EA6006C"/>
    <w:rsid w:val="200B3B6B"/>
    <w:rsid w:val="20230655"/>
    <w:rsid w:val="21072CC7"/>
    <w:rsid w:val="2214117B"/>
    <w:rsid w:val="22F722B3"/>
    <w:rsid w:val="230044F9"/>
    <w:rsid w:val="25253F4E"/>
    <w:rsid w:val="25D6079F"/>
    <w:rsid w:val="27E74129"/>
    <w:rsid w:val="28901CFF"/>
    <w:rsid w:val="28A63A77"/>
    <w:rsid w:val="28E75901"/>
    <w:rsid w:val="298F1778"/>
    <w:rsid w:val="2F3A581B"/>
    <w:rsid w:val="2F683B53"/>
    <w:rsid w:val="2F937E28"/>
    <w:rsid w:val="30C2420B"/>
    <w:rsid w:val="310E58A1"/>
    <w:rsid w:val="322F2D66"/>
    <w:rsid w:val="32354DFC"/>
    <w:rsid w:val="323653FE"/>
    <w:rsid w:val="33082D45"/>
    <w:rsid w:val="3459486C"/>
    <w:rsid w:val="38402058"/>
    <w:rsid w:val="3B326DB3"/>
    <w:rsid w:val="3C4E2A76"/>
    <w:rsid w:val="3D94095C"/>
    <w:rsid w:val="40147341"/>
    <w:rsid w:val="42917E16"/>
    <w:rsid w:val="449C2FE1"/>
    <w:rsid w:val="484B78BD"/>
    <w:rsid w:val="494D732E"/>
    <w:rsid w:val="4D20467D"/>
    <w:rsid w:val="50146947"/>
    <w:rsid w:val="51C74FB8"/>
    <w:rsid w:val="51F635A0"/>
    <w:rsid w:val="52FA6DA5"/>
    <w:rsid w:val="57C00874"/>
    <w:rsid w:val="58D331A8"/>
    <w:rsid w:val="5C013209"/>
    <w:rsid w:val="5C6B760E"/>
    <w:rsid w:val="5EEC10DE"/>
    <w:rsid w:val="5FF608A7"/>
    <w:rsid w:val="602D5FC1"/>
    <w:rsid w:val="608A34B1"/>
    <w:rsid w:val="63D95EC9"/>
    <w:rsid w:val="64702AD3"/>
    <w:rsid w:val="6C6E4B04"/>
    <w:rsid w:val="6D8E7496"/>
    <w:rsid w:val="6E16292A"/>
    <w:rsid w:val="7075590D"/>
    <w:rsid w:val="71CC2454"/>
    <w:rsid w:val="72DC3AFD"/>
    <w:rsid w:val="735C50AE"/>
    <w:rsid w:val="73E8476A"/>
    <w:rsid w:val="73F364FA"/>
    <w:rsid w:val="74742919"/>
    <w:rsid w:val="747B3DF9"/>
    <w:rsid w:val="74EE54C4"/>
    <w:rsid w:val="750730DA"/>
    <w:rsid w:val="753B3DF9"/>
    <w:rsid w:val="77C83757"/>
    <w:rsid w:val="77E640D1"/>
    <w:rsid w:val="780B0ECF"/>
    <w:rsid w:val="78D6764B"/>
    <w:rsid w:val="78E57CE3"/>
    <w:rsid w:val="7A992BBA"/>
    <w:rsid w:val="7B404F0F"/>
    <w:rsid w:val="7B450E59"/>
    <w:rsid w:val="7E6C6EE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34"/>
    <w:qFormat/>
    <w:uiPriority w:val="0"/>
    <w:pPr>
      <w:keepNext/>
      <w:keepLines/>
      <w:spacing w:before="340" w:after="330" w:line="578" w:lineRule="auto"/>
      <w:jc w:val="center"/>
      <w:outlineLvl w:val="0"/>
    </w:pPr>
    <w:rPr>
      <w:rFonts w:ascii="Times New Roman" w:hAnsi="Times New Roman" w:eastAsia="黑体"/>
      <w:b/>
      <w:bCs/>
      <w:kern w:val="44"/>
      <w:sz w:val="30"/>
      <w:szCs w:val="44"/>
    </w:rPr>
  </w:style>
  <w:style w:type="paragraph" w:styleId="3">
    <w:name w:val="heading 2"/>
    <w:basedOn w:val="1"/>
    <w:next w:val="1"/>
    <w:qFormat/>
    <w:uiPriority w:val="0"/>
    <w:pPr>
      <w:keepNext/>
      <w:keepLines/>
      <w:spacing w:before="260" w:after="260" w:line="412" w:lineRule="auto"/>
      <w:jc w:val="center"/>
      <w:outlineLvl w:val="1"/>
    </w:pPr>
    <w:rPr>
      <w:rFonts w:ascii="Arial" w:hAnsi="Arial" w:eastAsia="黑体"/>
      <w:b/>
      <w:bCs/>
      <w:sz w:val="32"/>
      <w:szCs w:val="32"/>
    </w:rPr>
  </w:style>
  <w:style w:type="paragraph" w:styleId="4">
    <w:name w:val="heading 3"/>
    <w:basedOn w:val="1"/>
    <w:next w:val="1"/>
    <w:qFormat/>
    <w:uiPriority w:val="0"/>
    <w:pPr>
      <w:keepNext/>
      <w:keepLines/>
      <w:spacing w:before="260" w:beforeLines="0" w:after="260" w:afterLines="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仿宋" w:cs="Times New Roman"/>
      <w:b/>
      <w:sz w:val="24"/>
    </w:rPr>
  </w:style>
  <w:style w:type="character" w:default="1" w:styleId="19">
    <w:name w:val="Default Paragraph Font"/>
    <w:semiHidden/>
    <w:unhideWhenUsed/>
    <w:qFormat/>
    <w:uiPriority w:val="1"/>
  </w:style>
  <w:style w:type="table" w:default="1" w:styleId="17">
    <w:name w:val="Normal Table"/>
    <w:semiHidden/>
    <w:qFormat/>
    <w:uiPriority w:val="0"/>
    <w:tblPr>
      <w:tblCellMar>
        <w:top w:w="0" w:type="dxa"/>
        <w:left w:w="108" w:type="dxa"/>
        <w:bottom w:w="0" w:type="dxa"/>
        <w:right w:w="108" w:type="dxa"/>
      </w:tblCellMar>
    </w:tblPr>
  </w:style>
  <w:style w:type="paragraph" w:styleId="6">
    <w:name w:val="Body Text"/>
    <w:basedOn w:val="1"/>
    <w:link w:val="28"/>
    <w:qFormat/>
    <w:uiPriority w:val="0"/>
    <w:pPr>
      <w:jc w:val="left"/>
    </w:pPr>
    <w:rPr>
      <w:rFonts w:ascii="Arial" w:hAnsi="Arial" w:eastAsia="黑体"/>
      <w:b/>
      <w:sz w:val="32"/>
    </w:rPr>
  </w:style>
  <w:style w:type="paragraph" w:styleId="7">
    <w:name w:val="Body Text Indent"/>
    <w:basedOn w:val="1"/>
    <w:link w:val="29"/>
    <w:semiHidden/>
    <w:unhideWhenUsed/>
    <w:qFormat/>
    <w:uiPriority w:val="99"/>
    <w:pPr>
      <w:spacing w:after="120"/>
      <w:ind w:left="420" w:leftChars="200"/>
    </w:pPr>
  </w:style>
  <w:style w:type="paragraph" w:styleId="8">
    <w:name w:val="Date"/>
    <w:basedOn w:val="1"/>
    <w:next w:val="1"/>
    <w:link w:val="26"/>
    <w:semiHidden/>
    <w:unhideWhenUsed/>
    <w:qFormat/>
    <w:uiPriority w:val="99"/>
    <w:pPr>
      <w:ind w:left="100" w:leftChars="2500"/>
    </w:pPr>
  </w:style>
  <w:style w:type="paragraph" w:styleId="9">
    <w:name w:val="Body Text Indent 2"/>
    <w:basedOn w:val="1"/>
    <w:qFormat/>
    <w:uiPriority w:val="0"/>
    <w:pPr>
      <w:spacing w:after="120" w:line="480" w:lineRule="auto"/>
      <w:ind w:left="420" w:leftChars="200"/>
    </w:pPr>
    <w:rPr>
      <w:rFonts w:ascii="宋体"/>
      <w:sz w:val="32"/>
      <w:szCs w:val="22"/>
    </w:rPr>
  </w:style>
  <w:style w:type="paragraph" w:styleId="10">
    <w:name w:val="Balloon Text"/>
    <w:basedOn w:val="1"/>
    <w:link w:val="31"/>
    <w:semiHidden/>
    <w:unhideWhenUsed/>
    <w:qFormat/>
    <w:uiPriority w:val="99"/>
    <w:rPr>
      <w:sz w:val="18"/>
      <w:szCs w:val="18"/>
    </w:rPr>
  </w:style>
  <w:style w:type="paragraph" w:styleId="11">
    <w:name w:val="footer"/>
    <w:basedOn w:val="1"/>
    <w:link w:val="25"/>
    <w:unhideWhenUsed/>
    <w:qFormat/>
    <w:uiPriority w:val="0"/>
    <w:pPr>
      <w:tabs>
        <w:tab w:val="center" w:pos="4153"/>
        <w:tab w:val="right" w:pos="8306"/>
      </w:tabs>
      <w:snapToGrid w:val="0"/>
      <w:jc w:val="left"/>
    </w:pPr>
    <w:rPr>
      <w:sz w:val="18"/>
      <w:szCs w:val="18"/>
    </w:rPr>
  </w:style>
  <w:style w:type="paragraph" w:styleId="12">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qFormat/>
    <w:uiPriority w:val="39"/>
    <w:pPr>
      <w:ind w:left="210"/>
    </w:pPr>
    <w:rPr>
      <w:rFonts w:ascii="Calibri" w:hAnsi="Calibri" w:eastAsia="宋体" w:cs="Times New Roman"/>
      <w:szCs w:val="24"/>
    </w:rPr>
  </w:style>
  <w:style w:type="paragraph" w:styleId="14">
    <w:name w:val="Body Text 2"/>
    <w:basedOn w:val="1"/>
    <w:next w:val="1"/>
    <w:qFormat/>
    <w:uiPriority w:val="0"/>
    <w:pPr>
      <w:spacing w:after="120" w:line="480" w:lineRule="auto"/>
    </w:pPr>
    <w:rPr>
      <w:kern w:val="0"/>
      <w:sz w:val="20"/>
      <w:szCs w:val="24"/>
    </w:rPr>
  </w:style>
  <w:style w:type="paragraph" w:styleId="1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2"/>
    <w:basedOn w:val="7"/>
    <w:link w:val="30"/>
    <w:semiHidden/>
    <w:unhideWhenUsed/>
    <w:qFormat/>
    <w:uiPriority w:val="99"/>
    <w:pPr>
      <w:ind w:firstLine="420" w:firstLineChars="200"/>
    </w:pPr>
  </w:style>
  <w:style w:type="table" w:styleId="18">
    <w:name w:val="Table Grid"/>
    <w:basedOn w:val="17"/>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page number"/>
    <w:semiHidden/>
    <w:unhideWhenUsed/>
    <w:qFormat/>
    <w:uiPriority w:val="99"/>
    <w:rPr>
      <w:rFonts w:cs="Times New Roman"/>
    </w:rPr>
  </w:style>
  <w:style w:type="character" w:styleId="22">
    <w:name w:val="Hyperlink"/>
    <w:basedOn w:val="19"/>
    <w:unhideWhenUsed/>
    <w:qFormat/>
    <w:uiPriority w:val="99"/>
    <w:rPr>
      <w:color w:val="0000FF"/>
      <w:u w:val="single"/>
    </w:rPr>
  </w:style>
  <w:style w:type="paragraph" w:customStyle="1" w:styleId="23">
    <w:name w:val="List Paragraph"/>
    <w:basedOn w:val="1"/>
    <w:qFormat/>
    <w:uiPriority w:val="34"/>
    <w:pPr>
      <w:ind w:firstLine="420" w:firstLineChars="200"/>
    </w:pPr>
    <w:rPr>
      <w:rFonts w:ascii="Times New Roman" w:hAnsi="Times New Roman" w:eastAsia="宋体" w:cs="Times New Roman"/>
      <w:szCs w:val="24"/>
    </w:rPr>
  </w:style>
  <w:style w:type="character" w:customStyle="1" w:styleId="24">
    <w:name w:val="页眉 Char"/>
    <w:basedOn w:val="19"/>
    <w:link w:val="12"/>
    <w:semiHidden/>
    <w:qFormat/>
    <w:uiPriority w:val="99"/>
    <w:rPr>
      <w:sz w:val="18"/>
      <w:szCs w:val="18"/>
    </w:rPr>
  </w:style>
  <w:style w:type="character" w:customStyle="1" w:styleId="25">
    <w:name w:val="页脚 Char"/>
    <w:basedOn w:val="19"/>
    <w:link w:val="11"/>
    <w:qFormat/>
    <w:uiPriority w:val="0"/>
    <w:rPr>
      <w:sz w:val="18"/>
      <w:szCs w:val="18"/>
    </w:rPr>
  </w:style>
  <w:style w:type="character" w:customStyle="1" w:styleId="26">
    <w:name w:val="日期 Char"/>
    <w:basedOn w:val="19"/>
    <w:link w:val="8"/>
    <w:semiHidden/>
    <w:qFormat/>
    <w:uiPriority w:val="99"/>
  </w:style>
  <w:style w:type="character" w:customStyle="1" w:styleId="27">
    <w:name w:val="正文文本 Char"/>
    <w:link w:val="6"/>
    <w:qFormat/>
    <w:locked/>
    <w:uiPriority w:val="0"/>
    <w:rPr>
      <w:rFonts w:ascii="Arial" w:hAnsi="Arial" w:eastAsia="黑体"/>
      <w:b/>
      <w:sz w:val="32"/>
    </w:rPr>
  </w:style>
  <w:style w:type="character" w:customStyle="1" w:styleId="28">
    <w:name w:val="正文文本 Char1"/>
    <w:basedOn w:val="19"/>
    <w:link w:val="6"/>
    <w:semiHidden/>
    <w:qFormat/>
    <w:uiPriority w:val="99"/>
  </w:style>
  <w:style w:type="character" w:customStyle="1" w:styleId="29">
    <w:name w:val="正文文本缩进 Char"/>
    <w:basedOn w:val="19"/>
    <w:link w:val="7"/>
    <w:semiHidden/>
    <w:qFormat/>
    <w:uiPriority w:val="99"/>
  </w:style>
  <w:style w:type="character" w:customStyle="1" w:styleId="30">
    <w:name w:val="正文首行缩进 2 Char"/>
    <w:basedOn w:val="29"/>
    <w:link w:val="16"/>
    <w:semiHidden/>
    <w:qFormat/>
    <w:uiPriority w:val="99"/>
  </w:style>
  <w:style w:type="character" w:customStyle="1" w:styleId="31">
    <w:name w:val="批注框文本 Char"/>
    <w:basedOn w:val="19"/>
    <w:link w:val="10"/>
    <w:semiHidden/>
    <w:qFormat/>
    <w:uiPriority w:val="99"/>
    <w:rPr>
      <w:sz w:val="18"/>
      <w:szCs w:val="18"/>
    </w:rPr>
  </w:style>
  <w:style w:type="paragraph" w:customStyle="1" w:styleId="32">
    <w:name w:val="正文_0"/>
    <w:qFormat/>
    <w:uiPriority w:val="0"/>
    <w:pPr>
      <w:widowControl w:val="0"/>
      <w:jc w:val="both"/>
    </w:pPr>
    <w:rPr>
      <w:rFonts w:ascii="Plotter" w:hAnsi="Plotter" w:eastAsia="宋体" w:cs="Plotter"/>
      <w:b/>
      <w:kern w:val="2"/>
      <w:sz w:val="24"/>
      <w:szCs w:val="52"/>
      <w:lang w:val="en-US" w:eastAsia="zh-CN" w:bidi="ar-SA"/>
    </w:rPr>
  </w:style>
  <w:style w:type="paragraph" w:customStyle="1" w:styleId="33">
    <w:name w:val="目录 21"/>
    <w:basedOn w:val="1"/>
    <w:qFormat/>
    <w:uiPriority w:val="0"/>
    <w:pPr>
      <w:ind w:left="420"/>
    </w:pPr>
    <w:rPr>
      <w:rFonts w:eastAsia="仿宋_GB2312"/>
      <w:b/>
      <w:sz w:val="24"/>
    </w:rPr>
  </w:style>
  <w:style w:type="character" w:customStyle="1" w:styleId="34">
    <w:name w:val="标题 1 Char"/>
    <w:basedOn w:val="19"/>
    <w:link w:val="2"/>
    <w:qFormat/>
    <w:uiPriority w:val="0"/>
    <w:rPr>
      <w:rFonts w:ascii="Times New Roman" w:hAnsi="Times New Roman" w:eastAsia="黑体"/>
      <w:b/>
      <w:bCs/>
      <w:kern w:val="44"/>
      <w:sz w:val="30"/>
      <w:szCs w:val="44"/>
    </w:rPr>
  </w:style>
  <w:style w:type="character" w:customStyle="1" w:styleId="35">
    <w:name w:val="font101"/>
    <w:basedOn w:val="19"/>
    <w:qFormat/>
    <w:uiPriority w:val="0"/>
    <w:rPr>
      <w:rFonts w:hint="eastAsia" w:ascii="宋体" w:hAnsi="宋体" w:eastAsia="宋体" w:cs="宋体"/>
      <w:color w:val="FF0000"/>
      <w:sz w:val="20"/>
      <w:szCs w:val="20"/>
      <w:u w:val="none"/>
    </w:rPr>
  </w:style>
  <w:style w:type="paragraph" w:customStyle="1" w:styleId="36">
    <w:name w:val="节标题"/>
    <w:basedOn w:val="1"/>
    <w:next w:val="1"/>
    <w:qFormat/>
    <w:uiPriority w:val="0"/>
    <w:pPr>
      <w:widowControl/>
      <w:spacing w:line="289" w:lineRule="atLeast"/>
      <w:jc w:val="center"/>
      <w:textAlignment w:val="baseline"/>
    </w:pPr>
    <w:rPr>
      <w:color w:val="000000"/>
      <w:kern w:val="0"/>
      <w:sz w:val="28"/>
    </w:rPr>
  </w:style>
  <w:style w:type="paragraph" w:customStyle="1" w:styleId="37">
    <w:name w:val="p0"/>
    <w:basedOn w:val="1"/>
    <w:qFormat/>
    <w:uiPriority w:val="0"/>
    <w:pPr>
      <w:widowControl/>
    </w:pPr>
    <w:rPr>
      <w:rFonts w:cs="宋体"/>
      <w:kern w:val="0"/>
    </w:rPr>
  </w:style>
  <w:style w:type="paragraph" w:customStyle="1" w:styleId="38">
    <w:name w:val="列出段落1"/>
    <w:basedOn w:val="1"/>
    <w:qFormat/>
    <w:uiPriority w:val="0"/>
    <w:pPr>
      <w:widowControl/>
      <w:adjustRightInd w:val="0"/>
      <w:snapToGrid w:val="0"/>
      <w:spacing w:after="200" w:afterLines="0"/>
      <w:ind w:firstLine="420" w:firstLineChars="200"/>
      <w:jc w:val="left"/>
    </w:pPr>
    <w:rPr>
      <w:rFonts w:ascii="Tahoma" w:hAnsi="Tahoma" w:eastAsia="微软雅黑"/>
      <w:kern w:val="0"/>
      <w:sz w:val="22"/>
      <w:szCs w:val="22"/>
    </w:rPr>
  </w:style>
  <w:style w:type="paragraph" w:customStyle="1" w:styleId="39">
    <w:name w:val="哈哈正文"/>
    <w:basedOn w:val="1"/>
    <w:qFormat/>
    <w:uiPriority w:val="0"/>
    <w:pPr>
      <w:widowControl/>
      <w:spacing w:before="119" w:line="360" w:lineRule="auto"/>
      <w:ind w:left="567" w:firstLine="420" w:firstLineChars="232"/>
    </w:pPr>
    <w:rPr>
      <w:rFonts w:ascii="宋体" w:hAnsi="宋体"/>
      <w:sz w:val="24"/>
      <w:szCs w:val="20"/>
    </w:rPr>
  </w:style>
  <w:style w:type="paragraph" w:customStyle="1" w:styleId="40">
    <w:name w:val="列表段落1"/>
    <w:basedOn w:val="1"/>
    <w:qFormat/>
    <w:uiPriority w:val="34"/>
    <w:pPr>
      <w:ind w:firstLine="420" w:firstLineChars="200"/>
    </w:pPr>
  </w:style>
  <w:style w:type="paragraph" w:customStyle="1" w:styleId="41">
    <w:name w:val="标准正文样式"/>
    <w:basedOn w:val="1"/>
    <w:qFormat/>
    <w:uiPriority w:val="0"/>
    <w:pPr>
      <w:widowControl/>
      <w:spacing w:line="360" w:lineRule="auto"/>
      <w:ind w:firstLine="200" w:firstLineChars="200"/>
      <w:jc w:val="left"/>
    </w:pPr>
    <w:rPr>
      <w:sz w:val="24"/>
    </w:rPr>
  </w:style>
  <w:style w:type="paragraph" w:customStyle="1" w:styleId="42">
    <w:name w:val="_正文段落"/>
    <w:basedOn w:val="43"/>
    <w:qFormat/>
    <w:uiPriority w:val="0"/>
    <w:pPr>
      <w:widowControl w:val="0"/>
      <w:spacing w:beforeLines="15" w:afterLines="15" w:line="360" w:lineRule="auto"/>
      <w:ind w:firstLine="480" w:firstLineChars="200"/>
      <w:jc w:val="both"/>
    </w:pPr>
    <w:rPr>
      <w:rFonts w:hAnsi="宋体"/>
      <w:sz w:val="24"/>
      <w:szCs w:val="24"/>
    </w:rPr>
  </w:style>
  <w:style w:type="paragraph" w:customStyle="1" w:styleId="43">
    <w:name w:val="纯文本1"/>
    <w:basedOn w:val="1"/>
    <w:qFormat/>
    <w:uiPriority w:val="0"/>
    <w:pPr>
      <w:widowControl/>
      <w:jc w:val="left"/>
    </w:pPr>
    <w:rPr>
      <w:rFonts w:ascii="宋体" w:hAnsi="Courier New"/>
      <w:kern w:val="0"/>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23</Pages>
  <Words>2783</Words>
  <Characters>2975</Characters>
  <Lines>6</Lines>
  <Paragraphs>1</Paragraphs>
  <TotalTime>3</TotalTime>
  <ScaleCrop>false</ScaleCrop>
  <LinksUpToDate>false</LinksUpToDate>
  <CharactersWithSpaces>3013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2020-09-28T00:44:00Z</dcterms:created>
  <dc:creator>Administrator</dc:creator>
  <cp:lastModifiedBy>能能</cp:lastModifiedBy>
  <cp:lastPrinted>2024-08-02T08:38:00Z</cp:lastPrinted>
  <dcterms:modified xsi:type="dcterms:W3CDTF">2025-09-28T01:44:44Z</dcterms:modified>
  <dc:title>马鞍山市中医院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5454054EEDDD420495B91241D8CDEB4A</vt:lpwstr>
  </property>
  <property fmtid="{D5CDD505-2E9C-101B-9397-08002B2CF9AE}" pid="4" name="KSOTemplateDocerSaveRecord">
    <vt:lpwstr>eyJoZGlkIjoiNjVjOGUxODk1YzY2NTUxMWVjNzRmZDgxYTIzNjVjOGQiLCJ1c2VySWQiOiI1NTUzMTQ2MDYifQ==</vt:lpwstr>
  </property>
</Properties>
</file>