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E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临床教学模型采购需求</w:t>
      </w:r>
    </w:p>
    <w:p w14:paraId="365E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9C24E1">
      <w:pPr>
        <w:tabs>
          <w:tab w:val="left" w:pos="7020"/>
        </w:tabs>
        <w:spacing w:line="440" w:lineRule="exact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采购清单</w:t>
      </w:r>
    </w:p>
    <w:tbl>
      <w:tblPr>
        <w:tblStyle w:val="4"/>
        <w:tblW w:w="53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076"/>
        <w:gridCol w:w="1210"/>
        <w:gridCol w:w="1512"/>
        <w:gridCol w:w="1439"/>
      </w:tblGrid>
      <w:tr w14:paraId="6E8E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8C64"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B272"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货物名称（标的名称）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C2DB"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476F"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2B2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最高限制单价（元）</w:t>
            </w:r>
          </w:p>
        </w:tc>
      </w:tr>
      <w:tr w14:paraId="33334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FD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4E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高级鼻饲管与气管护理模型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E6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895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97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3500</w:t>
            </w:r>
          </w:p>
        </w:tc>
      </w:tr>
      <w:tr w14:paraId="39239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94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83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男女导尿模型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141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803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8A6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2500</w:t>
            </w:r>
          </w:p>
        </w:tc>
      </w:tr>
    </w:tbl>
    <w:p w14:paraId="13AF02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highlight w:val="yellow"/>
          <w:lang w:val="en-US" w:eastAsia="zh-CN" w:bidi="ar"/>
        </w:rPr>
        <w:t>供应商所报单价不得超过对应最高单价，否则投标无效。</w:t>
      </w:r>
    </w:p>
    <w:p w14:paraId="2AA5E28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8"/>
          <w:szCs w:val="28"/>
          <w:lang w:val="en-US" w:eastAsia="zh-CN" w:bidi="ar-SA"/>
        </w:rPr>
        <w:t>二、技术要求</w:t>
      </w:r>
    </w:p>
    <w:p w14:paraId="47F4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高级鼻饲管与气管护理模型</w:t>
      </w:r>
    </w:p>
    <w:p w14:paraId="74ED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由PVC塑胶材料经模具浇模制成，具有形象逼真、操作真实、拆装方便、结构合理和经久耐用等特点，还可以拆装分部件进行局部功能教学训练。</w:t>
      </w:r>
    </w:p>
    <w:p w14:paraId="1436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076F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头发护理：洗头护理；</w:t>
      </w:r>
    </w:p>
    <w:p w14:paraId="2DC0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脸部清洁：面部皮肤可擦拭清洁；</w:t>
      </w:r>
    </w:p>
    <w:p w14:paraId="1FBB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瞳孔观察示教：一侧瞳孔散大、一侧瞳孔正常；</w:t>
      </w:r>
    </w:p>
    <w:p w14:paraId="17C0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耳部护理：可进行耳廓、外耳道的清洗；</w:t>
      </w:r>
    </w:p>
    <w:p w14:paraId="31C0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口腔护理: 可进行正常口腔及牙齿护理；</w:t>
      </w:r>
    </w:p>
    <w:p w14:paraId="3AA0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可进行气管切开术后护理；</w:t>
      </w:r>
    </w:p>
    <w:p w14:paraId="3ED6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可进行口鼻管插管训练、吸痰术练习；</w:t>
      </w:r>
    </w:p>
    <w:p w14:paraId="41D9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氧气吸入法：鼻孔内可插入吸氧管，练习氧气吸入的操作过程；</w:t>
      </w:r>
    </w:p>
    <w:p w14:paraId="46AF2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雾化吸入疗法：可练习雾化吸入的操作过程；</w:t>
      </w:r>
    </w:p>
    <w:p w14:paraId="0E98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480" w:hanging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鼻饲术：托起头部使下颌靠近胸骨柄实现昏迷病人的鼻饲，具有真实大小的胃，可容纳2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0ml的液体，胃管插入45-55cm时，可以抽出模拟胃液，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胃部是半透明可以直观看到胃管插入状态；</w:t>
      </w:r>
    </w:p>
    <w:p w14:paraId="618F4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洗胃术：可经口、鼻进行洗胃器洗胃、电动吸引器洗胃、胃管洗胃、洗胃机洗胃，胃容量约为200ml；</w:t>
      </w:r>
    </w:p>
    <w:p w14:paraId="464D9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内部设有透明胃，可以直观看到插胃管情况；</w:t>
      </w:r>
    </w:p>
    <w:p w14:paraId="1CCB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480" w:hanging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13、手捏小球可以模拟颈动脉搏动。</w:t>
      </w:r>
    </w:p>
    <w:p w14:paraId="7E7B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二、男女导尿模型</w:t>
      </w:r>
    </w:p>
    <w:p w14:paraId="0EE8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由PVC塑胶材料经模具浇模制成，具有形象逼真、操作真实、拆装方便、结构合理和经久耐用等特点，还可以拆装分部件进行局部功能教学训练。</w:t>
      </w:r>
    </w:p>
    <w:p w14:paraId="3107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基本要求：</w:t>
      </w:r>
    </w:p>
    <w:p w14:paraId="7E50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1、模型为成人腹部及躯干，男女外生殖器可互换；</w:t>
      </w:r>
    </w:p>
    <w:p w14:paraId="5E1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2、女性短、粗、直，尿道长度约5cm；</w:t>
      </w:r>
    </w:p>
    <w:p w14:paraId="7EF0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3、男性尿道长度约20cm，导尿通过粘膜皱壁、尿道球部及尿道内括约肌时，可以通过改变体位和阴茎的位置，使导管插入；</w:t>
      </w:r>
    </w:p>
    <w:p w14:paraId="1B15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4、导尿术：导尿术成功后可导出模拟尿液；</w:t>
      </w:r>
    </w:p>
    <w:p w14:paraId="2421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5、灌肠术：可导入模拟灌肠液，并由专用管道导出；</w:t>
      </w:r>
    </w:p>
    <w:p w14:paraId="4F0F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6、可进行臀部肌内注射；</w:t>
      </w:r>
    </w:p>
    <w:p w14:paraId="1082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7、可进行结肠造瘘口护理。</w:t>
      </w:r>
    </w:p>
    <w:p w14:paraId="267DF6DD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商务要求</w:t>
      </w:r>
    </w:p>
    <w:p w14:paraId="3FA80D0B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（本项目商务要求为不允许负偏离的实质性要求和条件）</w:t>
      </w:r>
    </w:p>
    <w:p w14:paraId="0165DF82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1、所有货物（包括零部件）须为全新的、未使用过的原装正品。提交货物的技术参数和配置应与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询价文件</w:t>
      </w:r>
      <w:r>
        <w:rPr>
          <w:rFonts w:hint="eastAsia" w:ascii="宋体" w:hAnsi="宋体" w:eastAsia="宋体" w:cs="宋体"/>
          <w:sz w:val="24"/>
          <w:szCs w:val="24"/>
        </w:rPr>
        <w:t>的要求及其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的技术响应表（如果被评委会接受的话）相一致。若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询价文件</w: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中无相应说明，则以国家有关部门最新颁布的相应标准及规范为准。</w:t>
      </w:r>
    </w:p>
    <w:p w14:paraId="3FF5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2、所有货物必须符合国家相关强制性要求。</w:t>
      </w:r>
    </w:p>
    <w:p w14:paraId="7FCD56AC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、技术支持</w:t>
      </w:r>
    </w:p>
    <w:p w14:paraId="63E6C26B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提供全方位及时而有效的技术支持和服务。</w:t>
      </w:r>
    </w:p>
    <w:p w14:paraId="1990F6AF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负责供货、运输并安装调试完毕。</w:t>
      </w:r>
    </w:p>
    <w:p w14:paraId="7D95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.3 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发生兼并、重组，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本项目的供货、安装、维护保养等相关工作必须由新组建的公司按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询价文件</w: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承担相应的义务。</w:t>
      </w:r>
    </w:p>
    <w:p w14:paraId="1357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.4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在项目实施过程中，国家对相关项目有资质要求的，进场单位和人员的资质、资格符合国家、省、市有关规定。实施期间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所发生的或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实施场地内发生的或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原因造成的安全事故，均应由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负责按有关规定处理善后事宜，并承担给采购人造成的损失。</w:t>
      </w:r>
    </w:p>
    <w:p w14:paraId="337F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.5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中为本项目配备的人员力量，在合同履行期间，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须按采购人要求到达本项目现场提供相应服务，否则采购人有权解除采购合同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6084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3.6支持所供设备软件免费升级。</w:t>
      </w:r>
    </w:p>
    <w:p w14:paraId="6B99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产品质保期、服务期</w:t>
      </w:r>
      <w:r>
        <w:rPr>
          <w:rFonts w:hint="eastAsia" w:ascii="宋体" w:hAnsi="宋体" w:eastAsia="宋体" w:cs="宋体"/>
          <w:sz w:val="24"/>
          <w:szCs w:val="24"/>
        </w:rPr>
        <w:t xml:space="preserve">及售后服务：                                        </w:t>
      </w:r>
    </w:p>
    <w:p w14:paraId="1E3F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1产品质保期：成交供应商须提供产品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u w:val="single"/>
          <w:lang w:val="en-US" w:eastAsia="zh-CN"/>
        </w:rPr>
        <w:t>至少1年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的质保期（自验收合格之日起计算），质保期内出现质量问题，成交供应商负责包修、包退、包换，所有质保费用均已包含在总报价中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217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 xml:space="preserve">须设有维修服务电话，负责解答用户在货物使用中遇到的问题，及时提出解决问题的建议和操作方法。                                                                        </w:t>
      </w:r>
    </w:p>
    <w:p w14:paraId="50F95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.3售后服务响应时间：如货物出现质量问题，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须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1小时内</w:t>
      </w:r>
      <w:r>
        <w:rPr>
          <w:rFonts w:hint="eastAsia" w:ascii="宋体" w:hAnsi="宋体" w:eastAsia="宋体" w:cs="宋体"/>
          <w:sz w:val="24"/>
          <w:szCs w:val="24"/>
        </w:rPr>
        <w:t>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电话响应无法解决，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必须在接报修电话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24小时</w:t>
      </w:r>
      <w:r>
        <w:rPr>
          <w:rFonts w:hint="eastAsia" w:ascii="宋体" w:hAnsi="宋体" w:eastAsia="宋体" w:cs="宋体"/>
          <w:sz w:val="24"/>
          <w:szCs w:val="24"/>
        </w:rPr>
        <w:t>内到达现场并在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48小时</w:t>
      </w:r>
      <w:r>
        <w:rPr>
          <w:rFonts w:hint="eastAsia" w:ascii="宋体" w:hAnsi="宋体" w:eastAsia="宋体" w:cs="宋体"/>
          <w:sz w:val="24"/>
          <w:szCs w:val="24"/>
        </w:rPr>
        <w:t>内解决问题。如不能解决的，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需提供备品备件供采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购人使用。质保期内如货物出现质量问题，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负责修复，对于无法修复的情况，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免费</w:t>
      </w:r>
      <w:r>
        <w:rPr>
          <w:rFonts w:hint="eastAsia" w:ascii="宋体" w:hAnsi="宋体" w:eastAsia="宋体" w:cs="宋体"/>
          <w:sz w:val="24"/>
          <w:szCs w:val="24"/>
        </w:rPr>
        <w:t>更换。</w:t>
      </w:r>
    </w:p>
    <w:p w14:paraId="0F2C5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培训：</w:t>
      </w:r>
    </w:p>
    <w:p w14:paraId="3321A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的操作人员免费提供现场培训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9E5A713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5.2现场培训能够根据用户需要，合理安排，使用户能够全面掌握设备的工作原理，熟练独立操作设备，并能够对设备进行日常维护与保养，简单故障诊断与排除。</w:t>
      </w:r>
    </w:p>
    <w:p w14:paraId="1D80C63F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5.3以上培训费用含在总报价中。 </w:t>
      </w:r>
    </w:p>
    <w:p w14:paraId="385C9810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6、供货期：合同签订后，15个日历日内交货并安装调试完毕。</w:t>
      </w:r>
    </w:p>
    <w:p w14:paraId="3A6DCF1A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7、供货地点：马鞍山市中医院（成交供应商指定地点）。</w:t>
      </w:r>
    </w:p>
    <w:p w14:paraId="0F09D31D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8、验收：</w:t>
      </w:r>
    </w:p>
    <w:p w14:paraId="661E3E8E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采购人和相关部门按照采购文件和响应文件承诺进行验收。采购文件没有规定和响应文件没有相应承诺的，按照下列原则进行验收：有国家标准的按照国家标准验收，没有国家标准的按行业标准验收，无行业标准的按地方或企业标准验收，成交供应商予以配合。涉及需要由质检或行业主管部门验收的项目，采购人须约请相关部门和专家参加项目验收。</w:t>
      </w:r>
    </w:p>
    <w:p w14:paraId="1BA0E44D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8.2货物在验收时，供应商应提供发票、制造厂家出具的产品合格证书、装箱清单等，涉及进口的部件须提供中国海关进口货物报关单、完税证明及商检证明等材料；提供有关货物的保养修理所需的各种随机工具及全部有关技术文件（外文应提供中文翻译资料，下同）、厂商质保承诺、操作使用说明书、质保书、保修证明、维护手册及技术性指导资料以及根据中国相关法律规定制造、销售报价货物（包括主要部件和材料）所必备的各种证书(如产品质量检验报告、国家相关检测机构出具的检验报告等）等文件汇集成册交付采购人和应由成交供应商提供的必要文件。</w:t>
      </w:r>
    </w:p>
    <w:p w14:paraId="76FE47A6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8.3成交供应商应向采购人提供安装调试过程中的各种文档资料，以便采购人今后能掌握操作和维护方法。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</w:p>
    <w:p w14:paraId="59F8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付款方式：验收合格后支付合同总金额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。</w:t>
      </w:r>
    </w:p>
    <w:p w14:paraId="02440E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10、提交响应文件时同步提供样品。</w:t>
      </w:r>
    </w:p>
    <w:p w14:paraId="320F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11、本项目总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投标价包含了交付使用前的全部费用，包括货物购置费、调试费、人工费、交通费、食宿费、管理费、运输费、保险费、质保期内的维护维修费、培训费、验收费、其他费用及所有价内价外税金及合理利润等。</w:t>
      </w:r>
    </w:p>
    <w:p w14:paraId="04947864">
      <w:pPr>
        <w:spacing w:line="520" w:lineRule="exact"/>
        <w:ind w:firstLine="560" w:firstLineChars="200"/>
        <w:outlineLvl w:val="0"/>
        <w:rPr>
          <w:rFonts w:hint="default"/>
          <w:sz w:val="28"/>
          <w:szCs w:val="28"/>
          <w:lang w:val="en-US" w:eastAsia="zh-CN"/>
        </w:rPr>
      </w:pPr>
    </w:p>
    <w:p w14:paraId="7C32A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0AF1"/>
    <w:rsid w:val="20F32244"/>
    <w:rsid w:val="2C3B5948"/>
    <w:rsid w:val="3C66544A"/>
    <w:rsid w:val="4B8A2C62"/>
    <w:rsid w:val="4F401DDC"/>
    <w:rsid w:val="4F453703"/>
    <w:rsid w:val="5CE858D1"/>
    <w:rsid w:val="76F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Arial" w:hAnsi="Arial" w:eastAsia="黑体" w:cs="黑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2363</Words>
  <Characters>2433</Characters>
  <Lines>0</Lines>
  <Paragraphs>0</Paragraphs>
  <TotalTime>2</TotalTime>
  <ScaleCrop>false</ScaleCrop>
  <LinksUpToDate>false</LinksUpToDate>
  <CharactersWithSpaces>2586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莹莹</cp:lastModifiedBy>
  <dcterms:modified xsi:type="dcterms:W3CDTF">2025-11-07T10:54:24Z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79C1C6E8C50B452B8D961D9224976B69_13</vt:lpwstr>
  </property>
  <property fmtid="{D5CDD505-2E9C-101B-9397-08002B2CF9AE}" pid="4" name="KSOTemplateDocerSaveRecord">
    <vt:lpwstr>eyJoZGlkIjoiNDM3MTYzMDhhOTc5YTExMzg1YTM0MTdhNjM0ZDllMjgiLCJ1c2VySWQiOiI0MzkxNjI2NzYifQ==</vt:lpwstr>
  </property>
</Properties>
</file>