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龙氏牵引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器采购需求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针对椎间盘突出、关节错位等病症，通过牵引带拉伸颈部长韧带，结合推正法、摇肩法等手法复位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一、技术参数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牵引力范围‌：颈椎牵引力为0-300N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档调节‌；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牵引行程‌：0-300mm‌；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控制方式‌：支持医患双控牵引力，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实时显示拉力‌；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曲度调节‌：颈椎牵引曲度0-15°可调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静态牵引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既可实现传统静态牵引，也能配合“牵引下正骨法”进行动态治疗‌；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纯机械设计‌；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含底座椅架、牵引架、粗/微调装置及重锤等组件‌。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1、质保期3年；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2、合同签订后15个日历日内供货并安装验收完毕；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3、验收合格后支付合同总金额的90%，满12个月无质量及售后服务问题支付合同总金额的10%。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2792"/>
    <w:rsid w:val="27EB246D"/>
    <w:rsid w:val="30F7392E"/>
    <w:rsid w:val="40397FB3"/>
    <w:rsid w:val="749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279</Characters>
  <Lines>0</Lines>
  <Paragraphs>0</Paragraphs>
  <TotalTime>58</TotalTime>
  <ScaleCrop>false</ScaleCrop>
  <LinksUpToDate>false</LinksUpToDate>
  <CharactersWithSpaces>279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2025-09-01T07:01:00Z</dcterms:created>
  <dc:creator>user</dc:creator>
  <cp:lastModifiedBy>绝世撒旦</cp:lastModifiedBy>
  <dcterms:modified xsi:type="dcterms:W3CDTF">2025-11-12T09:03:46Z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eyJoZGlkIjoiMDM5ZDA1NGQyMmE1NDhiMWI3ZGFmMzI0YzE0OWQ4YjAiLCJ1c2VySWQiOiI3MDg0MDI0MDgifQ==</vt:lpwstr>
  </property>
  <property fmtid="{D5CDD505-2E9C-101B-9397-08002B2CF9AE}" pid="4" name="ICV">
    <vt:lpwstr>F47BCD6CBE384D39BBF1DCF06C802583_13</vt:lpwstr>
  </property>
</Properties>
</file>