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宋体" w:hAnsi="宋体" w:eastAsia="宋体" w:cs="宋体"/>
          <w:b/>
          <w:bCs/>
          <w:kern w:val="0"/>
          <w:sz w:val="30"/>
          <w:szCs w:val="30"/>
          <w:lang w:val="en-US" w:eastAsia="zh-CN" w:bidi="ar-SA"/>
        </w:rPr>
      </w:pPr>
      <w:r>
        <w:rPr>
          <w:rFonts w:hint="eastAsia" w:ascii="宋体" w:hAnsi="宋体" w:eastAsia="宋体" w:cs="宋体"/>
          <w:b/>
          <w:bCs/>
          <w:kern w:val="0"/>
          <w:sz w:val="30"/>
          <w:szCs w:val="30"/>
          <w:lang w:val="en-US" w:eastAsia="zh-CN" w:bidi="ar-SA"/>
        </w:rPr>
        <w:t>马鞍山市中医院重症医学科输注泵等设备采购清单及相关要求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b w:val="0"/>
          <w:bCs/>
          <w:sz w:val="32"/>
          <w:szCs w:val="32"/>
          <w:lang w:val="en-US" w:eastAsia="zh-CN"/>
        </w:rPr>
      </w:pPr>
    </w:p>
    <w:p>
      <w:pPr>
        <w:tabs>
          <w:tab w:val="left" w:pos="1050"/>
        </w:tabs>
        <w:spacing w:line="460" w:lineRule="exact"/>
        <w:jc w:val="center"/>
        <w:outlineLvl w:val="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一、采购清单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323"/>
        <w:gridCol w:w="902"/>
        <w:gridCol w:w="945"/>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序号</w:t>
            </w:r>
          </w:p>
        </w:tc>
        <w:tc>
          <w:tcPr>
            <w:tcW w:w="23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设备名称</w:t>
            </w:r>
          </w:p>
        </w:tc>
        <w:tc>
          <w:tcPr>
            <w:tcW w:w="90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数量</w:t>
            </w:r>
          </w:p>
        </w:tc>
        <w:tc>
          <w:tcPr>
            <w:tcW w:w="9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仿宋_GB2312" w:eastAsia="仿宋_GB2312" w:cs="仿宋_GB2312"/>
                <w:b/>
                <w:bCs/>
                <w:color w:val="000000"/>
                <w:sz w:val="32"/>
                <w:szCs w:val="32"/>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单位</w:t>
            </w:r>
          </w:p>
        </w:tc>
        <w:tc>
          <w:tcPr>
            <w:tcW w:w="215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仿宋_GB2312" w:eastAsia="仿宋_GB2312" w:cs="仿宋_GB2312"/>
                <w:b/>
                <w:bCs/>
                <w:color w:val="000000"/>
                <w:sz w:val="32"/>
                <w:szCs w:val="32"/>
                <w:vertAlign w:val="baseline"/>
                <w:lang w:val="en-US" w:eastAsia="zh-CN"/>
              </w:rPr>
            </w:pPr>
            <w:r>
              <w:rPr>
                <w:rFonts w:hint="eastAsia" w:ascii="宋体" w:hAnsi="宋体" w:eastAsia="宋体" w:cs="Times New Roman"/>
                <w:b/>
                <w:bCs/>
                <w:sz w:val="24"/>
                <w:lang w:val="en-US" w:eastAsia="zh-CN"/>
              </w:rPr>
              <w:t>最高限制单价（元）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输液泵</w:t>
            </w:r>
          </w:p>
        </w:tc>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3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注射泵（单泵）</w:t>
            </w:r>
          </w:p>
        </w:tc>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注射泵（双泵）</w:t>
            </w:r>
            <w:bookmarkStart w:id="0" w:name="_GoBack"/>
            <w:bookmarkEnd w:id="0"/>
          </w:p>
        </w:tc>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3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可移动输注泵台车</w:t>
            </w:r>
          </w:p>
        </w:tc>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21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总计</w:t>
            </w:r>
          </w:p>
        </w:tc>
        <w:tc>
          <w:tcPr>
            <w:tcW w:w="23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sz w:val="24"/>
                <w:szCs w:val="24"/>
                <w:lang w:val="en-US" w:eastAsia="zh-CN"/>
              </w:rPr>
            </w:pPr>
          </w:p>
        </w:tc>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94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c>
          <w:tcPr>
            <w:tcW w:w="21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p>
        </w:tc>
      </w:tr>
    </w:tbl>
    <w:p>
      <w:pPr>
        <w:keepNext w:val="0"/>
        <w:keepLines w:val="0"/>
        <w:widowControl/>
        <w:suppressLineNumbers w:val="0"/>
        <w:ind w:firstLine="720" w:firstLineChars="300"/>
        <w:jc w:val="left"/>
        <w:textAlignment w:val="center"/>
        <w:rPr>
          <w:rFonts w:hint="eastAsia"/>
          <w:b/>
          <w:bCs/>
          <w:sz w:val="24"/>
          <w:szCs w:val="24"/>
          <w:lang w:val="en-US" w:eastAsia="zh-CN"/>
        </w:rPr>
      </w:pPr>
      <w:r>
        <w:rPr>
          <w:rFonts w:hint="eastAsia" w:ascii="宋体" w:hAnsi="宋体" w:cs="宋体"/>
          <w:sz w:val="24"/>
          <w:szCs w:val="24"/>
          <w:lang w:val="en-US" w:eastAsia="zh-CN"/>
        </w:rPr>
        <w:t>▲</w:t>
      </w:r>
      <w:r>
        <w:rPr>
          <w:rFonts w:hint="default"/>
          <w:b/>
          <w:bCs/>
          <w:sz w:val="24"/>
          <w:szCs w:val="24"/>
          <w:lang w:val="en-US" w:eastAsia="zh-CN"/>
        </w:rPr>
        <w:t>本项目核心产品为：</w:t>
      </w:r>
      <w:r>
        <w:rPr>
          <w:rFonts w:hint="eastAsia"/>
          <w:b/>
          <w:bCs/>
          <w:sz w:val="24"/>
          <w:szCs w:val="24"/>
          <w:lang w:val="en-US" w:eastAsia="zh-CN"/>
        </w:rPr>
        <w:t>注射泵（双泵）</w:t>
      </w:r>
    </w:p>
    <w:p>
      <w:pPr>
        <w:keepNext w:val="0"/>
        <w:keepLines w:val="0"/>
        <w:widowControl w:val="0"/>
        <w:suppressLineNumbers w:val="0"/>
        <w:spacing w:before="0" w:beforeAutospacing="0" w:after="0" w:afterAutospacing="0"/>
        <w:ind w:left="0" w:right="0" w:firstLine="723" w:firstLineChars="300"/>
        <w:jc w:val="both"/>
        <w:rPr>
          <w:rFonts w:hint="eastAsia"/>
          <w:color w:val="FF0000"/>
          <w:lang w:val="en-US" w:eastAsia="zh-CN"/>
        </w:rPr>
      </w:pPr>
      <w:r>
        <w:rPr>
          <w:rFonts w:hint="eastAsia" w:ascii="宋体" w:hAnsi="宋体" w:eastAsia="宋体" w:cs="宋体"/>
          <w:b/>
          <w:bCs w:val="0"/>
          <w:color w:val="FF0000"/>
          <w:kern w:val="2"/>
          <w:sz w:val="24"/>
          <w:szCs w:val="24"/>
          <w:highlight w:val="yellow"/>
          <w:lang w:val="en-US" w:eastAsia="zh-CN" w:bidi="ar"/>
        </w:rPr>
        <w:t>投标人所报单价不得超过对应最高限制单价，否则投标无效。</w:t>
      </w:r>
    </w:p>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center"/>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二、技术要求</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输液泵</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5台</w:t>
      </w:r>
      <w:r>
        <w:rPr>
          <w:rFonts w:hint="eastAsia" w:ascii="仿宋_GB2312" w:hAnsi="仿宋_GB2312" w:eastAsia="仿宋_GB2312" w:cs="仿宋_GB2312"/>
          <w:b/>
          <w:sz w:val="32"/>
          <w:szCs w:val="32"/>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1.设计使用年限≥10年；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2.可升级肠内营养液输液功能；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3.输液精度≤±5%；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4.速率范围：0.1-2000ml/h, 最小步进0.1ml/h；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5.快进流速范围：0.1-2000ml/h，具有自动和手动快进可选；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6.可自动统计多种累计量：包含24h累计量、最近累计量、自定义时间段累计量、定时间隔累计量等；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7.输液模式≥8种；</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★8.≥3.5英寸彩色显示屏，电容触摸屏技术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9.支持药物库，可储存多种药物信息；</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10.在线动态压力监测，可实时显示当前压力数值；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11.压力报警阈值多档可调，最低可设置150mmHg；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12.具备阻塞前预警提示功能，当管路压力未触发阻塞报警时，泵可自动识别压力上升并在屏幕上进行提示；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★13.具备阻塞后自动重启输液功能；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14.具备单个气泡和累积气泡报警功能；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15.信息储存：可存储多条历史记录；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16.电池工作时间≥5小时（25ml/h）；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■17.防异物及进液等级≥IP44。     </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（二）注射泵单道（4台）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1.设计使用年限≥10年；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2.注射精度≤±2%；</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3.速率范围：0.01-2000ml/h, 最小起始流速和步进流速均为0.01ml/h；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4.快进流速范围：0.01-2000ml/h，具有自动和手动快进可选；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5.可自动统计多种累计量：包含24h累计量、最近累计量、自定义时间段累计量、定时间隔累计量等；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6.支持注射器规格：10ml、20ml、30ml、50/60ml；</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7.注射器安装后，具备自动感应制动功能，防止药液误推；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8.注射模式≥8种；</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■9.支持镇痛药、胰岛素输注；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★10.≥3.5英寸彩色显示屏，电容触摸屏技术；</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11.支持药物库，可储存多种药物信息；</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12.在线动态压力监测，可实时显示当前压力数值；</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■13.压力报警阈值多档可调，最低可设置150mmHg；</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14.具备阻塞前预警提示功能，当管路压力未触发阻塞报警时，泵可自动识别压力上升并在屏幕上进行提示；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★15.具备阻塞后自动重启输液功能；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16.信息储存：多条历史记录；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17.电池工作时间≥6小时（5ml/h）；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■18.防异物及进液等级≥IP44；</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（三）注射泵双道（5台）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1.设计使用年限≥10年；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2.双通道为主机一体化设计，无需额外配件。每个通道具备独立电源开关可独立使用；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3.注射精度≤±2%；</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4.速率范围：0.01-2000ml/h, 最小起始流速和步进流速均为0.01ml/h；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5.快进流速范围：0.01-2000ml/h，具有自动和手动快进可选；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6.可自动统计多种累计量；</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7.支持注射器规格：10ml、20ml、30ml、50/60ml；</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8.注射器安装后，具备自动感应制动功能，防止药液误推；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9.注射模式≥8种；</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■10.支持镇痛药、胰岛素输注；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11.≥3.5英寸电容触摸屏；</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12.支持药物库，可储存多种药物信息；</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13.在线动态压力监测，可实时显示当前压力数值；</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14.压力报警阈值多档可调，最低可设置150mmHg；</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■15.具备阻塞前预警提示功能；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★16.具备阻塞后自动重启输液功能；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17.信息储存：可存储多条历史记录；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18.电池工作时间≥6小时（5ml/h）；</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19.防异物及进液等级≥IP44。</w:t>
      </w:r>
    </w:p>
    <w:p>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（四）可移动输注泵台车（7台）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1、可移动输注泵台车自带移动推车，可搭载≥6个输注泵，泵即插即用，各泵独立供电，可移动输注泵台车，即可对站内所有注射泵和输液泵供电；</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2.铝合金材质，带输液支架，置物台面，不少于4个≥3寸带刹车静音脚轮；</w:t>
      </w:r>
    </w:p>
    <w:p>
      <w:pPr>
        <w:keepNext w:val="0"/>
        <w:keepLines w:val="0"/>
        <w:pageBreakBefore w:val="0"/>
        <w:tabs>
          <w:tab w:val="left" w:pos="1050"/>
        </w:tabs>
        <w:kinsoku/>
        <w:wordWrap/>
        <w:overflowPunct/>
        <w:topLinePunct w:val="0"/>
        <w:autoSpaceDE/>
        <w:autoSpaceDN/>
        <w:bidi w:val="0"/>
        <w:adjustRightInd/>
        <w:spacing w:line="400" w:lineRule="exact"/>
        <w:jc w:val="center"/>
        <w:textAlignment w:val="auto"/>
        <w:outlineLvl w:val="2"/>
        <w:rPr>
          <w:rFonts w:hint="eastAsia"/>
          <w:b/>
          <w:sz w:val="28"/>
          <w:szCs w:val="28"/>
          <w:lang w:val="en-US" w:eastAsia="zh-CN"/>
        </w:rPr>
      </w:pPr>
    </w:p>
    <w:p>
      <w:pPr>
        <w:keepNext w:val="0"/>
        <w:keepLines w:val="0"/>
        <w:pageBreakBefore w:val="0"/>
        <w:tabs>
          <w:tab w:val="left" w:pos="1050"/>
        </w:tabs>
        <w:kinsoku/>
        <w:wordWrap/>
        <w:overflowPunct/>
        <w:topLinePunct w:val="0"/>
        <w:autoSpaceDE/>
        <w:autoSpaceDN/>
        <w:bidi w:val="0"/>
        <w:adjustRightInd/>
        <w:spacing w:line="400" w:lineRule="exact"/>
        <w:jc w:val="center"/>
        <w:textAlignment w:val="auto"/>
        <w:outlineLvl w:val="2"/>
        <w:rPr>
          <w:rFonts w:hint="eastAsia"/>
          <w:b/>
          <w:sz w:val="28"/>
          <w:szCs w:val="28"/>
        </w:rPr>
      </w:pPr>
      <w:r>
        <w:rPr>
          <w:rFonts w:hint="eastAsia"/>
          <w:b/>
          <w:sz w:val="28"/>
          <w:szCs w:val="28"/>
          <w:lang w:val="en-US" w:eastAsia="zh-CN"/>
        </w:rPr>
        <w:t>三、</w:t>
      </w:r>
      <w:r>
        <w:rPr>
          <w:rFonts w:hint="eastAsia"/>
          <w:b/>
          <w:sz w:val="28"/>
          <w:szCs w:val="28"/>
        </w:rPr>
        <w:t>商务要求</w:t>
      </w:r>
    </w:p>
    <w:p>
      <w:pPr>
        <w:keepNext w:val="0"/>
        <w:keepLines w:val="0"/>
        <w:pageBreakBefore w:val="0"/>
        <w:tabs>
          <w:tab w:val="left" w:pos="1050"/>
        </w:tabs>
        <w:kinsoku/>
        <w:wordWrap/>
        <w:overflowPunct/>
        <w:topLinePunct w:val="0"/>
        <w:autoSpaceDE/>
        <w:autoSpaceDN/>
        <w:bidi w:val="0"/>
        <w:adjustRightInd/>
        <w:spacing w:line="400" w:lineRule="exact"/>
        <w:jc w:val="center"/>
        <w:textAlignment w:val="auto"/>
        <w:outlineLvl w:val="2"/>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rPr>
        <w:t>（本项目商务要求为不允许负偏离的实质性要求和条件）</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2、所有货物必须符合国家相关强制性要求。</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Times New Roman"/>
          <w:b/>
          <w:bCs/>
          <w:sz w:val="24"/>
          <w:highlight w:val="yellow"/>
          <w:lang w:val="en-US" w:eastAsia="zh-CN"/>
        </w:rPr>
      </w:pPr>
      <w:r>
        <w:rPr>
          <w:rFonts w:hint="eastAsia" w:ascii="宋体" w:hAnsi="宋体" w:cs="Times New Roman"/>
          <w:b/>
          <w:bCs/>
          <w:sz w:val="24"/>
          <w:highlight w:val="yellow"/>
          <w:lang w:val="en-US" w:eastAsia="zh-CN"/>
        </w:rPr>
        <w:t>2.1投标人须在投标文件中提供</w:t>
      </w:r>
      <w:r>
        <w:rPr>
          <w:rFonts w:hint="eastAsia" w:ascii="宋体" w:hAnsi="宋体" w:eastAsia="宋体" w:cs="Times New Roman"/>
          <w:b/>
          <w:bCs/>
          <w:sz w:val="24"/>
          <w:highlight w:val="yellow"/>
          <w:lang w:val="en-US" w:eastAsia="zh-CN"/>
        </w:rPr>
        <w:t>所报医疗器械符合以下条件之一的相应材料，</w:t>
      </w:r>
      <w:r>
        <w:rPr>
          <w:rFonts w:hint="eastAsia" w:ascii="宋体" w:hAnsi="宋体" w:cs="Times New Roman"/>
          <w:b/>
          <w:bCs/>
          <w:sz w:val="24"/>
          <w:highlight w:val="yellow"/>
          <w:lang w:val="en-US" w:eastAsia="zh-CN"/>
        </w:rPr>
        <w:t>否则视为商务要求未完全响应：</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sz w:val="24"/>
          <w:highlight w:val="yellow"/>
          <w:lang w:val="en-US" w:eastAsia="zh-CN"/>
        </w:rPr>
      </w:pPr>
      <w:r>
        <w:rPr>
          <w:rFonts w:hint="eastAsia" w:ascii="宋体" w:hAnsi="宋体" w:eastAsia="宋体"/>
          <w:sz w:val="24"/>
          <w:highlight w:val="yellow"/>
          <w:lang w:val="en-US" w:eastAsia="zh-CN"/>
        </w:rPr>
        <w:t>（1）条件一：所报产品为第二、三类医疗器械的，提供所报医疗器械的医疗器械注册证扫描件（在有效期内）；</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sz w:val="24"/>
          <w:highlight w:val="yellow"/>
          <w:lang w:val="en-US" w:eastAsia="zh-CN"/>
        </w:rPr>
      </w:pPr>
      <w:r>
        <w:rPr>
          <w:rFonts w:hint="eastAsia" w:ascii="宋体" w:hAnsi="宋体" w:eastAsia="宋体"/>
          <w:sz w:val="24"/>
          <w:highlight w:val="yellow"/>
          <w:lang w:val="en-US" w:eastAsia="zh-CN"/>
        </w:rPr>
        <w:t>（2）条件二：所报产品为第一类医疗器械的，提供所报医疗器械的第一类医疗器械备案信息证明材料扫描件。</w:t>
      </w:r>
    </w:p>
    <w:p>
      <w:pPr>
        <w:pStyle w:val="4"/>
        <w:ind w:firstLine="480" w:firstLineChars="200"/>
        <w:rPr>
          <w:rFonts w:hint="eastAsia" w:ascii="宋体" w:hAnsi="宋体" w:eastAsia="宋体" w:cstheme="minorBidi"/>
          <w:b w:val="0"/>
          <w:kern w:val="2"/>
          <w:sz w:val="24"/>
          <w:szCs w:val="22"/>
          <w:highlight w:val="yellow"/>
          <w:lang w:val="en-US" w:eastAsia="zh-CN" w:bidi="ar-SA"/>
        </w:rPr>
      </w:pPr>
      <w:r>
        <w:rPr>
          <w:rFonts w:hint="eastAsia" w:ascii="宋体" w:hAnsi="宋体" w:eastAsia="宋体" w:cstheme="minorBidi"/>
          <w:b w:val="0"/>
          <w:kern w:val="2"/>
          <w:sz w:val="24"/>
          <w:szCs w:val="22"/>
          <w:highlight w:val="yellow"/>
          <w:lang w:val="en-US" w:eastAsia="zh-CN" w:bidi="ar-SA"/>
        </w:rPr>
        <w:t>（3）输液泵、注射泵需提供国家三类医疗器械注册证。</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3、技术支持</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3.1中标人应向招标人提供全方位及时而有效的技术支持和服务。</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3.2中标人负责供货、运输并安装调试完毕。</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3.3 如中标人发生兼并、重组，招标人本项目的供货、安装、维护保养等相关工作必须由新组建的公司按招标文件及投标文件承担相应的义务。</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3.4 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3.5 投标文件中为本项目配备的人员力量，在合同履行期间，中标人须按采购人要求到达本项目现场提供相应服务，否则采购人有权解除采购合同。</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3.6支持所供设备软件免费升级。</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4、产品质保期、服务期及售后服务：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4.1产品质保期：中标人须提供产品至少</w:t>
      </w:r>
      <w:r>
        <w:rPr>
          <w:rFonts w:hint="eastAsia" w:ascii="宋体" w:hAnsi="宋体" w:eastAsia="宋体" w:cs="Times New Roman"/>
          <w:sz w:val="24"/>
          <w:highlight w:val="yellow"/>
          <w:u w:val="single"/>
          <w:lang w:val="en-US" w:eastAsia="zh-CN"/>
        </w:rPr>
        <w:t>3</w:t>
      </w:r>
      <w:r>
        <w:rPr>
          <w:rFonts w:hint="eastAsia" w:ascii="宋体" w:hAnsi="宋体" w:eastAsia="宋体" w:cs="Times New Roman"/>
          <w:sz w:val="24"/>
          <w:highlight w:val="none"/>
          <w:lang w:val="en-US" w:eastAsia="zh-CN"/>
        </w:rPr>
        <w:t>年的质保期（自验收合格之日起计算），质保期内出现质量问题，成交供应商负责包修、包退、包换，所有质保费用均已包含在总报价中。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4.2中标人须设有维修服务电话，负责解答用户在货物使用中遇到的问题，及时提出解决问题的建议和操作方法。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4.3售后服务响应时间：如货物出现质量问题，中标人须1小时内响应，电话响应无法解决，中标人必须在接报修电话24小时内到达现场并在48小时内解决问题。如不能解决的，中标人需提供备品备件供采购人使用。质保期内如货物出现质量问题，中标人负责修复，对于无法修复的情况，中标人负责免费更换。</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5.1中标人应对招标人的操作人员免费提供现场培训。</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5.2现场培训能够根据用户需要，合理安排，使用户能够全面掌握设备的工作原理，熟练独立操作设备，并能够对设备进行日常维护与保养，简单故障诊断与排除。</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bCs/>
          <w:sz w:val="24"/>
          <w:highlight w:val="none"/>
          <w:lang w:val="en-US" w:eastAsia="zh-CN"/>
        </w:rPr>
      </w:pPr>
      <w:r>
        <w:rPr>
          <w:rFonts w:hint="eastAsia" w:ascii="宋体" w:hAnsi="宋体" w:eastAsia="宋体" w:cs="Times New Roman"/>
          <w:sz w:val="24"/>
          <w:highlight w:val="none"/>
          <w:lang w:val="en-US" w:eastAsia="zh-CN"/>
        </w:rPr>
        <w:t xml:space="preserve">5.3以上培训费用含在总报价中。 </w:t>
      </w:r>
    </w:p>
    <w:p>
      <w:pPr>
        <w:keepNext w:val="0"/>
        <w:keepLines w:val="0"/>
        <w:pageBreakBefore w:val="0"/>
        <w:tabs>
          <w:tab w:val="left" w:pos="7020"/>
        </w:tabs>
        <w:kinsoku/>
        <w:wordWrap/>
        <w:overflowPunct/>
        <w:topLinePunct w:val="0"/>
        <w:autoSpaceDE/>
        <w:autoSpaceDN/>
        <w:bidi w:val="0"/>
        <w:adjustRightInd/>
        <w:spacing w:line="400" w:lineRule="exact"/>
        <w:ind w:firstLine="480" w:firstLineChars="200"/>
        <w:textAlignment w:val="auto"/>
        <w:outlineLvl w:val="0"/>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6、供货期：合同签订后，</w:t>
      </w:r>
      <w:r>
        <w:rPr>
          <w:rFonts w:hint="eastAsia" w:ascii="宋体" w:hAnsi="宋体" w:cs="Times New Roman"/>
          <w:sz w:val="24"/>
          <w:highlight w:val="yellow"/>
          <w:lang w:val="en-US" w:eastAsia="zh-CN"/>
        </w:rPr>
        <w:t>15</w:t>
      </w:r>
      <w:r>
        <w:rPr>
          <w:rFonts w:hint="eastAsia" w:ascii="宋体" w:hAnsi="宋体" w:eastAsia="宋体" w:cs="Times New Roman"/>
          <w:sz w:val="24"/>
          <w:highlight w:val="yellow"/>
          <w:lang w:val="en-US" w:eastAsia="zh-CN"/>
        </w:rPr>
        <w:t>个日历日内供货并安装调试完毕。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7、供货地点：马鞍山市中医院（中标人指定地点）。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8、验收：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8.1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8.2货物在验收时，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厂商质保承诺、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8.3成交供应商应向采购人提供安装调试过程中的各种文档资料，以便采购人今后能掌握操作和维护方法。                             </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0"/>
        <w:rPr>
          <w:rFonts w:hint="eastAsia" w:ascii="宋体" w:hAnsi="宋体"/>
          <w:sz w:val="24"/>
          <w:highlight w:val="yellow"/>
        </w:rPr>
      </w:pPr>
      <w:r>
        <w:rPr>
          <w:rFonts w:hint="eastAsia" w:ascii="宋体" w:hAnsi="宋体" w:eastAsia="宋体" w:cs="Times New Roman"/>
          <w:sz w:val="24"/>
          <w:highlight w:val="yellow"/>
          <w:lang w:val="en-US" w:eastAsia="zh-CN"/>
        </w:rPr>
        <w:t>9、</w:t>
      </w:r>
      <w:r>
        <w:rPr>
          <w:rFonts w:hint="eastAsia" w:ascii="宋体" w:hAnsi="宋体" w:eastAsia="宋体" w:cs="Times New Roman"/>
          <w:sz w:val="24"/>
          <w:highlight w:val="yellow"/>
        </w:rPr>
        <w:t>付款方式：验收合格后支付合同总金额的90%，一年后无质量及售后服务问题支付合同总金额的10%</w:t>
      </w:r>
      <w:r>
        <w:rPr>
          <w:rFonts w:hint="eastAsia" w:ascii="宋体" w:hAnsi="宋体" w:eastAsia="宋体" w:cs="Times New Roman"/>
          <w:sz w:val="24"/>
          <w:highlight w:val="yellow"/>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10、本项目总投标价包含了交付使用前的全部费用，包括货物购置费（所有设备、辅材、零配件、易损件、备品备件及专用工具等）、调试费、人工费、交通费、食宿费、管理费、运输费、保险费、质保期内的维护维修费、培训费、验收费、其他费用及所有价内价外税金及合理利润等。</w:t>
      </w:r>
    </w:p>
    <w:p>
      <w:pPr>
        <w:bidi w:val="0"/>
        <w:rPr>
          <w:rFonts w:hint="default"/>
          <w:lang w:val="en-US" w:eastAsia="zh-CN"/>
        </w:rPr>
      </w:pPr>
    </w:p>
    <w:p>
      <w:pPr>
        <w:pStyle w:val="2"/>
        <w:spacing w:line="440" w:lineRule="exact"/>
        <w:rPr>
          <w:rFonts w:ascii="宋体" w:hAnsi="宋体" w:eastAsia="宋体"/>
          <w:b w:val="0"/>
          <w:color w:val="000000"/>
          <w:sz w:val="24"/>
          <w:szCs w:val="24"/>
        </w:rPr>
      </w:pPr>
    </w:p>
    <w:p>
      <w:pPr>
        <w:bidi w:val="0"/>
        <w:jc w:val="left"/>
        <w:rPr>
          <w:rFonts w:hint="default"/>
          <w:lang w:val="en-US" w:eastAsia="zh-CN"/>
        </w:rPr>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5A"/>
    <w:rsid w:val="00036CC1"/>
    <w:rsid w:val="000675EC"/>
    <w:rsid w:val="000A13A4"/>
    <w:rsid w:val="001A2920"/>
    <w:rsid w:val="001A65F1"/>
    <w:rsid w:val="001C08A8"/>
    <w:rsid w:val="00207F8D"/>
    <w:rsid w:val="00220847"/>
    <w:rsid w:val="00220D37"/>
    <w:rsid w:val="002568BA"/>
    <w:rsid w:val="00272383"/>
    <w:rsid w:val="002E4C8B"/>
    <w:rsid w:val="00332DA0"/>
    <w:rsid w:val="003A4875"/>
    <w:rsid w:val="003C1916"/>
    <w:rsid w:val="003D34A7"/>
    <w:rsid w:val="00404374"/>
    <w:rsid w:val="0041773D"/>
    <w:rsid w:val="00421821"/>
    <w:rsid w:val="0050285E"/>
    <w:rsid w:val="0059113F"/>
    <w:rsid w:val="00594B6C"/>
    <w:rsid w:val="005B1D06"/>
    <w:rsid w:val="005C3930"/>
    <w:rsid w:val="005D139D"/>
    <w:rsid w:val="005D256E"/>
    <w:rsid w:val="00605F81"/>
    <w:rsid w:val="0067119C"/>
    <w:rsid w:val="0069066A"/>
    <w:rsid w:val="00690876"/>
    <w:rsid w:val="006A6C7C"/>
    <w:rsid w:val="006C59DF"/>
    <w:rsid w:val="006D01DE"/>
    <w:rsid w:val="006E064B"/>
    <w:rsid w:val="0070700F"/>
    <w:rsid w:val="0071095A"/>
    <w:rsid w:val="007460CF"/>
    <w:rsid w:val="00752AB5"/>
    <w:rsid w:val="0077650B"/>
    <w:rsid w:val="0079769D"/>
    <w:rsid w:val="007B1AED"/>
    <w:rsid w:val="007C38E7"/>
    <w:rsid w:val="008019F4"/>
    <w:rsid w:val="00804859"/>
    <w:rsid w:val="00845D95"/>
    <w:rsid w:val="00847A61"/>
    <w:rsid w:val="0089039B"/>
    <w:rsid w:val="0089701B"/>
    <w:rsid w:val="008D32FE"/>
    <w:rsid w:val="0095463F"/>
    <w:rsid w:val="00966061"/>
    <w:rsid w:val="00980A03"/>
    <w:rsid w:val="00994018"/>
    <w:rsid w:val="009C12FA"/>
    <w:rsid w:val="009D3AC5"/>
    <w:rsid w:val="00A4491D"/>
    <w:rsid w:val="00A92532"/>
    <w:rsid w:val="00AA0A67"/>
    <w:rsid w:val="00AA3721"/>
    <w:rsid w:val="00AF1A28"/>
    <w:rsid w:val="00B54DA5"/>
    <w:rsid w:val="00B5654E"/>
    <w:rsid w:val="00B965CB"/>
    <w:rsid w:val="00BB6A12"/>
    <w:rsid w:val="00BC38E0"/>
    <w:rsid w:val="00BD2C46"/>
    <w:rsid w:val="00C00F47"/>
    <w:rsid w:val="00C13AE5"/>
    <w:rsid w:val="00C542E3"/>
    <w:rsid w:val="00C55AA3"/>
    <w:rsid w:val="00D257F2"/>
    <w:rsid w:val="00D34142"/>
    <w:rsid w:val="00D34DDA"/>
    <w:rsid w:val="00D725E3"/>
    <w:rsid w:val="00DC0FFE"/>
    <w:rsid w:val="00E040B6"/>
    <w:rsid w:val="00E35DC9"/>
    <w:rsid w:val="00E6412E"/>
    <w:rsid w:val="00E864F4"/>
    <w:rsid w:val="00EC7EA5"/>
    <w:rsid w:val="00F00A0E"/>
    <w:rsid w:val="00F03A90"/>
    <w:rsid w:val="00F0546C"/>
    <w:rsid w:val="00F6024B"/>
    <w:rsid w:val="00FB20A6"/>
    <w:rsid w:val="00FC4BA9"/>
    <w:rsid w:val="122F0168"/>
    <w:rsid w:val="137608A9"/>
    <w:rsid w:val="17542873"/>
    <w:rsid w:val="3974648E"/>
    <w:rsid w:val="3B1D0143"/>
    <w:rsid w:val="3B550C12"/>
    <w:rsid w:val="3F0932AA"/>
    <w:rsid w:val="3F301B45"/>
    <w:rsid w:val="4D53613A"/>
    <w:rsid w:val="62617ED0"/>
    <w:rsid w:val="6E24588B"/>
    <w:rsid w:val="71F92EA9"/>
    <w:rsid w:val="75A7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125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jc w:val="center"/>
      <w:outlineLvl w:val="0"/>
    </w:pPr>
    <w:rPr>
      <w:rFonts w:eastAsia="黑体"/>
      <w:b/>
      <w:bCs/>
      <w:kern w:val="44"/>
      <w:sz w:val="30"/>
      <w:szCs w:val="44"/>
    </w:rPr>
  </w:style>
  <w:style w:type="paragraph" w:styleId="4">
    <w:name w:val="heading 4"/>
    <w:basedOn w:val="1"/>
    <w:next w:val="1"/>
    <w:unhideWhenUsed/>
    <w:qFormat/>
    <w:uiPriority w:val="0"/>
    <w:pPr>
      <w:keepNext/>
      <w:keepLines/>
      <w:spacing w:line="372" w:lineRule="auto"/>
      <w:outlineLvl w:val="3"/>
    </w:pPr>
    <w:rPr>
      <w:rFonts w:ascii="Arial" w:hAnsi="Arial" w:eastAsia="仿宋"/>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Arial" w:hAnsi="Arial" w:eastAsia="黑体" w:cs="黑体"/>
      <w:b/>
      <w:sz w:val="32"/>
      <w:szCs w:val="22"/>
    </w:rPr>
  </w:style>
  <w:style w:type="paragraph" w:styleId="5">
    <w:name w:val="Body Text Indent"/>
    <w:basedOn w:val="1"/>
    <w:next w:val="6"/>
    <w:qFormat/>
    <w:uiPriority w:val="0"/>
    <w:pPr>
      <w:ind w:firstLine="560" w:firstLineChars="200"/>
    </w:pPr>
    <w:rPr>
      <w:rFonts w:ascii="宋体" w:hAnsi="宋体"/>
      <w:bCs/>
      <w:sz w:val="28"/>
      <w:szCs w:val="32"/>
    </w:rPr>
  </w:style>
  <w:style w:type="paragraph" w:styleId="6">
    <w:name w:val="envelope return"/>
    <w:basedOn w:val="1"/>
    <w:qFormat/>
    <w:uiPriority w:val="1259"/>
    <w:pPr>
      <w:snapToGrid w:val="0"/>
    </w:pPr>
    <w:rPr>
      <w:rFonts w:ascii="Arial" w:hAnsi="Arial" w:cs="Arial"/>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rFonts w:ascii="Calibri" w:hAnsi="Calibri"/>
      <w:szCs w:val="22"/>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黑体"/>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5"/>
    <w:next w:val="9"/>
    <w:qFormat/>
    <w:uiPriority w:val="99"/>
    <w:pPr>
      <w:tabs>
        <w:tab w:val="left" w:pos="8280"/>
      </w:tabs>
      <w:ind w:left="480" w:firstLine="210" w:firstLineChars="100"/>
      <w:jc w:val="left"/>
    </w:pPr>
    <w:rPr>
      <w:rFonts w:ascii="DFKai-SB" w:eastAsia="DFKai-SB"/>
      <w:sz w:val="28"/>
      <w:lang w:eastAsia="zh-TW"/>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firstLine="420" w:firstLineChars="200"/>
    </w:pPr>
  </w:style>
  <w:style w:type="character" w:customStyle="1" w:styleId="17">
    <w:name w:val="页眉 Char"/>
    <w:basedOn w:val="15"/>
    <w:link w:val="8"/>
    <w:qFormat/>
    <w:uiPriority w:val="99"/>
    <w:rPr>
      <w:sz w:val="18"/>
      <w:szCs w:val="18"/>
    </w:rPr>
  </w:style>
  <w:style w:type="character" w:customStyle="1" w:styleId="18">
    <w:name w:val="页脚 Char"/>
    <w:basedOn w:val="15"/>
    <w:link w:val="7"/>
    <w:qFormat/>
    <w:uiPriority w:val="99"/>
    <w:rPr>
      <w:sz w:val="18"/>
      <w:szCs w:val="18"/>
    </w:rPr>
  </w:style>
  <w:style w:type="character" w:customStyle="1" w:styleId="19">
    <w:name w:val="标题 1 Char"/>
    <w:basedOn w:val="15"/>
    <w:link w:val="3"/>
    <w:qFormat/>
    <w:uiPriority w:val="0"/>
    <w:rPr>
      <w:rFonts w:eastAsia="黑体"/>
      <w:b/>
      <w:bCs/>
      <w:kern w:val="44"/>
      <w:sz w:val="30"/>
      <w:szCs w:val="44"/>
    </w:rPr>
  </w:style>
  <w:style w:type="paragraph" w:customStyle="1" w:styleId="20">
    <w:name w:val="正文文字2"/>
    <w:basedOn w:val="2"/>
    <w:qFormat/>
    <w:uiPriority w:val="0"/>
    <w:pPr>
      <w:adjustRightInd w:val="0"/>
      <w:spacing w:after="60" w:line="360" w:lineRule="atLeast"/>
      <w:ind w:left="72" w:leftChars="30" w:right="72" w:rightChars="30"/>
      <w:jc w:val="center"/>
    </w:pPr>
    <w:rPr>
      <w:rFonts w:hAnsi="Times New Roman" w:cs="Arial"/>
      <w:b w:val="0"/>
      <w:kern w:val="0"/>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1720</Words>
  <Characters>1973</Characters>
  <Lines>4</Lines>
  <Paragraphs>1</Paragraphs>
  <TotalTime>11</TotalTime>
  <ScaleCrop>false</ScaleCrop>
  <LinksUpToDate>false</LinksUpToDate>
  <CharactersWithSpaces>2015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2024-11-28T07:13:00Z</dcterms:created>
  <dc:creator>黄婷 Huang Ting</dc:creator>
  <cp:lastModifiedBy>绝世撒旦</cp:lastModifiedBy>
  <cp:lastPrinted>2026-01-09T04:14:00Z</cp:lastPrinted>
  <dcterms:modified xsi:type="dcterms:W3CDTF">2026-01-09T11:19:05Z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eyJoZGlkIjoiNTBhODE0ZGIyMjAyMmQ2M2VmMmIzNjQxNDg4ZDRlMTYiLCJ1c2VySWQiOiI3MDg0MDI0MDgifQ==</vt:lpwstr>
  </property>
  <property fmtid="{D5CDD505-2E9C-101B-9397-08002B2CF9AE}" pid="3" name="KSOProductBuildVer">
    <vt:lpwstr>2052-11.8.2.11739</vt:lpwstr>
  </property>
  <property fmtid="{D5CDD505-2E9C-101B-9397-08002B2CF9AE}" pid="4" name="ICV">
    <vt:lpwstr>DFC40E37DE0843CC9C6A9A097FCA1C28</vt:lpwstr>
  </property>
</Properties>
</file>