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一次性导尿包、麻醉用针等医用耗材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采购清单及相关要求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一、采购清单</w:t>
      </w:r>
    </w:p>
    <w:tbl>
      <w:tblPr>
        <w:tblStyle w:val="2"/>
        <w:tblW w:w="483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909"/>
        <w:gridCol w:w="1416"/>
        <w:gridCol w:w="834"/>
        <w:gridCol w:w="1110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序号</w:t>
            </w:r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耗材名称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  <w:t>参考</w:t>
            </w:r>
          </w:p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规格型号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  <w:t>单位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  <w:t>参考单价</w:t>
            </w: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（元）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楷体" w:hAnsi="楷体" w:eastAsia="楷体" w:cs="楷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一次性冲洗管路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11.2</w:t>
            </w:r>
          </w:p>
        </w:tc>
        <w:tc>
          <w:tcPr>
            <w:tcW w:w="67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按需供货，据实结算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一次性负压吸引球a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一次性负压吸引球b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200ml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一次性肠道冲洗袋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1000ml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一次性引流袋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1000ml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一次性导尿包a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10号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一次性导尿包b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16号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一次性使用闭式引流瓶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1600ML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11.5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一次性使用无菌导尿管a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18号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一次性使用无菌导尿管b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16号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一次性微量泵延长管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2mm*1500mm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一次性呼吸道吸引导管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12号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一次性弯头导尿管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16号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一次性负压引流器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1000ML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一次性使用麻醉用针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0.7mm*120mm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一次性胃管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18号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一次性引流管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22号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一次性使用吸引连接管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28号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一次性高频手术电极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中性电极a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单级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中性电极b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双极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一次性使用硅橡胶引流球、管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黄色7mm(F22)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一次性使用鼻氧管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单鼻架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一次性使用鼻氧管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双鼻架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鼻胃肠管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4.7mm*115cm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  <w:bookmarkStart w:id="0" w:name="_GoBack"/>
            <w:bookmarkEnd w:id="0"/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医用吸氧面罩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成人型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总计</w:t>
            </w:r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服务期：2年（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供货期：合同期内按需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供货，每年据实结算支付，自接到医院通知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4、付款方式：甲方每月根据使用产品数量据实结算，收到乙方发票且集采平台订单确认收货后12个月付全款；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5、产品不少于1年有效期（按照进医院时间计算）。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E0355"/>
    <w:rsid w:val="142A4754"/>
    <w:rsid w:val="17B31609"/>
    <w:rsid w:val="1CBC7516"/>
    <w:rsid w:val="416F4944"/>
    <w:rsid w:val="4C9F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2026-01-12T06:57:00Z</dcterms:created>
  <dc:creator>Administrator</dc:creator>
  <cp:lastModifiedBy>绝世撒旦</cp:lastModifiedBy>
  <dcterms:modified xsi:type="dcterms:W3CDTF">2026-01-30T11:43:15Z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3637E400BA6D48E38DFAD8CAAA12A82E</vt:lpwstr>
  </property>
</Properties>
</file>