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20" w:lineRule="exact"/>
        <w:jc w:val="center"/>
        <w:rPr>
          <w:rFonts w:hint="eastAsia" w:ascii="宋体" w:hAnsi="宋体" w:eastAsia="宋体" w:cs="宋体"/>
          <w:b/>
          <w:bCs/>
          <w:sz w:val="32"/>
          <w:szCs w:val="32"/>
          <w:lang w:val="en-US" w:eastAsia="zh-CN"/>
        </w:rPr>
      </w:pPr>
      <w:bookmarkStart w:id="0" w:name="OLE_LINK2"/>
      <w:r>
        <w:rPr>
          <w:rFonts w:hint="eastAsia" w:ascii="宋体" w:hAnsi="宋体" w:eastAsia="宋体" w:cs="宋体"/>
          <w:b/>
          <w:bCs/>
          <w:sz w:val="32"/>
          <w:szCs w:val="32"/>
          <w:lang w:val="en-US" w:eastAsia="zh-CN"/>
        </w:rPr>
        <w:t>马鞍山市中医院供应室耗材配送服务项目采购内容及</w:t>
      </w:r>
    </w:p>
    <w:p>
      <w:pPr>
        <w:shd w:val="clear" w:color="auto" w:fill="FFFFFF"/>
        <w:spacing w:line="520" w:lineRule="exact"/>
        <w:jc w:val="center"/>
        <w:rPr>
          <w:rFonts w:hint="default"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bCs/>
          <w:sz w:val="32"/>
          <w:szCs w:val="32"/>
          <w:lang w:val="en-US" w:eastAsia="zh-CN"/>
        </w:rPr>
        <w:t>总体要求</w:t>
      </w:r>
      <w:bookmarkStart w:id="2" w:name="_GoBack"/>
      <w:bookmarkEnd w:id="2"/>
    </w:p>
    <w:bookmarkEnd w:id="0"/>
    <w:p>
      <w:pPr>
        <w:pStyle w:val="8"/>
        <w:snapToGrid w:val="0"/>
        <w:spacing w:before="0" w:beforeAutospacing="0" w:after="0" w:afterAutospacing="0" w:line="480" w:lineRule="exact"/>
        <w:ind w:firstLine="480" w:firstLineChars="200"/>
        <w:rPr>
          <w:color w:val="000000"/>
        </w:rPr>
      </w:pPr>
      <w:r>
        <w:rPr>
          <w:rFonts w:ascii="宋体" w:hAnsi="宋体" w:eastAsia="宋体" w:cs="宋体"/>
          <w:color w:val="000000"/>
        </w:rPr>
        <w:t>预算金额：</w:t>
      </w:r>
      <w:r>
        <w:rPr>
          <w:rFonts w:hint="eastAsia" w:cs="宋体"/>
          <w:color w:val="000000"/>
          <w:lang w:val="en-US" w:eastAsia="zh-CN"/>
        </w:rPr>
        <w:t>148079</w:t>
      </w:r>
      <w:r>
        <w:rPr>
          <w:rFonts w:hint="eastAsia" w:ascii="宋体" w:hAnsi="宋体" w:eastAsia="宋体" w:cs="宋体"/>
          <w:color w:val="000000"/>
        </w:rPr>
        <w:t>元</w:t>
      </w:r>
      <w:r>
        <w:rPr>
          <w:rFonts w:hint="eastAsia" w:cs="宋体"/>
          <w:color w:val="000000"/>
          <w:lang w:val="en-US" w:eastAsia="zh-CN"/>
        </w:rPr>
        <w:t>每</w:t>
      </w:r>
      <w:r>
        <w:rPr>
          <w:rFonts w:hint="eastAsia" w:ascii="宋体" w:hAnsi="宋体" w:eastAsia="宋体" w:cs="宋体"/>
          <w:color w:val="000000"/>
        </w:rPr>
        <w:t>年</w:t>
      </w:r>
      <w:r>
        <w:rPr>
          <w:rFonts w:hint="eastAsia" w:ascii="宋体" w:hAnsi="宋体" w:eastAsia="宋体" w:cs="宋体"/>
          <w:color w:val="000000"/>
          <w:lang w:eastAsia="zh-CN"/>
        </w:rPr>
        <w:t>（</w:t>
      </w:r>
      <w:r>
        <w:rPr>
          <w:rFonts w:hint="eastAsia" w:ascii="宋体" w:hAnsi="宋体" w:eastAsia="宋体" w:cs="宋体"/>
          <w:color w:val="000000"/>
          <w:lang w:val="en-US" w:eastAsia="zh-CN"/>
        </w:rPr>
        <w:t>综合费率</w:t>
      </w:r>
      <w:r>
        <w:rPr>
          <w:rFonts w:hint="eastAsia" w:cs="宋体"/>
          <w:color w:val="000000"/>
          <w:lang w:val="en-US" w:eastAsia="zh-CN"/>
        </w:rPr>
        <w:t>百分之百</w:t>
      </w:r>
      <w:r>
        <w:rPr>
          <w:rFonts w:hint="eastAsia" w:ascii="宋体" w:hAnsi="宋体" w:eastAsia="宋体" w:cs="宋体"/>
          <w:color w:val="000000"/>
          <w:lang w:eastAsia="zh-CN"/>
        </w:rPr>
        <w:t>）</w:t>
      </w:r>
      <w:r>
        <w:rPr>
          <w:rFonts w:hint="eastAsia" w:ascii="宋体" w:hAnsi="宋体" w:eastAsia="宋体" w:cs="宋体"/>
          <w:color w:val="000000"/>
        </w:rPr>
        <w:t>；最高限价：</w:t>
      </w:r>
      <w:r>
        <w:rPr>
          <w:rFonts w:hint="eastAsia" w:cs="宋体"/>
          <w:color w:val="000000"/>
          <w:lang w:val="en-US" w:eastAsia="zh-CN"/>
        </w:rPr>
        <w:t>148079</w:t>
      </w:r>
      <w:r>
        <w:rPr>
          <w:rFonts w:hint="eastAsia" w:ascii="宋体" w:hAnsi="宋体" w:eastAsia="宋体" w:cs="宋体"/>
          <w:color w:val="000000"/>
        </w:rPr>
        <w:t>元</w:t>
      </w:r>
      <w:r>
        <w:rPr>
          <w:rFonts w:hint="eastAsia" w:cs="宋体"/>
          <w:color w:val="000000"/>
          <w:lang w:val="en-US" w:eastAsia="zh-CN"/>
        </w:rPr>
        <w:t>每</w:t>
      </w:r>
      <w:r>
        <w:rPr>
          <w:rFonts w:hint="eastAsia" w:ascii="宋体" w:hAnsi="宋体" w:eastAsia="宋体" w:cs="宋体"/>
          <w:color w:val="000000"/>
        </w:rPr>
        <w:t>年</w:t>
      </w:r>
      <w:r>
        <w:rPr>
          <w:rFonts w:hint="eastAsia" w:ascii="宋体" w:hAnsi="宋体" w:eastAsia="宋体" w:cs="宋体"/>
          <w:color w:val="000000"/>
          <w:lang w:eastAsia="zh-CN"/>
        </w:rPr>
        <w:t>（</w:t>
      </w:r>
      <w:r>
        <w:rPr>
          <w:rFonts w:hint="eastAsia" w:ascii="宋体" w:hAnsi="宋体" w:eastAsia="宋体" w:cs="宋体"/>
          <w:color w:val="000000"/>
          <w:lang w:val="en-US" w:eastAsia="zh-CN"/>
        </w:rPr>
        <w:t>综合费率</w:t>
      </w:r>
      <w:r>
        <w:rPr>
          <w:rFonts w:hint="eastAsia" w:cs="宋体"/>
          <w:color w:val="000000"/>
          <w:lang w:val="en-US" w:eastAsia="zh-CN"/>
        </w:rPr>
        <w:t>百分之百</w:t>
      </w:r>
      <w:r>
        <w:rPr>
          <w:rFonts w:hint="eastAsia" w:ascii="宋体" w:hAnsi="宋体" w:eastAsia="宋体" w:cs="宋体"/>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宋体" w:hAnsi="宋体"/>
          <w:sz w:val="24"/>
          <w:highlight w:val="none"/>
        </w:rPr>
        <w:t>本项目投标人特定资格要求：</w:t>
      </w:r>
      <w:r>
        <w:rPr>
          <w:rFonts w:hint="eastAsia" w:ascii="宋体" w:hAnsi="宋体"/>
          <w:sz w:val="24"/>
          <w:highlight w:val="none"/>
          <w:lang w:val="en-US" w:eastAsia="zh-CN"/>
        </w:rPr>
        <w:t>无</w:t>
      </w:r>
    </w:p>
    <w:p>
      <w:pPr>
        <w:jc w:val="center"/>
        <w:rPr>
          <w:rFonts w:hint="default" w:ascii="Times New Roman" w:hAnsi="Times New Roman" w:eastAsia="宋体" w:cs="Times New Roman"/>
          <w:b/>
          <w:bCs/>
          <w:sz w:val="32"/>
          <w:szCs w:val="32"/>
        </w:rPr>
      </w:pPr>
    </w:p>
    <w:p>
      <w:pPr>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一、采购清单</w:t>
      </w:r>
    </w:p>
    <w:tbl>
      <w:tblPr>
        <w:tblStyle w:val="10"/>
        <w:tblpPr w:leftFromText="180" w:rightFromText="180" w:vertAnchor="text" w:horzAnchor="page" w:tblpXSpec="center" w:tblpY="69"/>
        <w:tblOverlap w:val="never"/>
        <w:tblW w:w="10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5"/>
        <w:gridCol w:w="3565"/>
        <w:gridCol w:w="1920"/>
        <w:gridCol w:w="2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645" w:type="dxa"/>
            <w:noWrap w:val="0"/>
            <w:vAlign w:val="center"/>
          </w:tcPr>
          <w:p>
            <w:pPr>
              <w:jc w:val="center"/>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3565" w:type="dxa"/>
            <w:noWrap w:val="0"/>
            <w:vAlign w:val="center"/>
          </w:tcPr>
          <w:p>
            <w:pPr>
              <w:jc w:val="center"/>
              <w:rPr>
                <w:rFonts w:hint="eastAsia" w:ascii="Times New Roman" w:hAnsi="Times New Roman" w:eastAsia="宋体" w:cs="Times New Roman"/>
                <w:b/>
                <w:bCs/>
                <w:sz w:val="24"/>
                <w:lang w:eastAsia="zh-CN"/>
              </w:rPr>
            </w:pPr>
            <w:r>
              <w:rPr>
                <w:rFonts w:hint="eastAsia" w:ascii="Times New Roman" w:hAnsi="Times New Roman" w:eastAsia="宋体" w:cs="Times New Roman"/>
                <w:b/>
                <w:bCs/>
                <w:sz w:val="24"/>
                <w:lang w:val="en-US" w:eastAsia="zh-CN"/>
              </w:rPr>
              <w:t>服务</w:t>
            </w:r>
            <w:r>
              <w:rPr>
                <w:rFonts w:hint="default" w:ascii="Times New Roman" w:hAnsi="Times New Roman" w:eastAsia="宋体" w:cs="Times New Roman"/>
                <w:b/>
                <w:bCs/>
                <w:sz w:val="24"/>
              </w:rPr>
              <w:t>名称</w:t>
            </w:r>
          </w:p>
        </w:tc>
        <w:tc>
          <w:tcPr>
            <w:tcW w:w="1920" w:type="dxa"/>
            <w:noWrap w:val="0"/>
            <w:vAlign w:val="center"/>
          </w:tcPr>
          <w:p>
            <w:pPr>
              <w:jc w:val="center"/>
              <w:rPr>
                <w:rFonts w:hint="eastAsia" w:ascii="Times New Roman" w:hAnsi="Times New Roman" w:eastAsia="宋体" w:cs="Times New Roman"/>
                <w:b/>
                <w:bCs/>
                <w:sz w:val="24"/>
                <w:lang w:eastAsia="zh-CN"/>
              </w:rPr>
            </w:pPr>
            <w:r>
              <w:rPr>
                <w:rFonts w:hint="eastAsia" w:ascii="Times New Roman" w:hAnsi="Times New Roman" w:eastAsia="宋体" w:cs="Times New Roman"/>
                <w:b/>
                <w:bCs/>
                <w:sz w:val="24"/>
                <w:lang w:val="en-US" w:eastAsia="zh-CN"/>
              </w:rPr>
              <w:t>数量</w:t>
            </w:r>
          </w:p>
        </w:tc>
        <w:tc>
          <w:tcPr>
            <w:tcW w:w="2888" w:type="dxa"/>
            <w:noWrap w:val="0"/>
            <w:vAlign w:val="center"/>
          </w:tcPr>
          <w:p>
            <w:pPr>
              <w:jc w:val="center"/>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645" w:type="dxa"/>
            <w:noWrap w:val="0"/>
            <w:vAlign w:val="center"/>
          </w:tcPr>
          <w:p>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3565" w:type="dxa"/>
            <w:noWrap w:val="0"/>
            <w:vAlign w:val="center"/>
          </w:tcPr>
          <w:p>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马鞍山市中医院供应室耗材配送服务</w:t>
            </w:r>
          </w:p>
        </w:tc>
        <w:tc>
          <w:tcPr>
            <w:tcW w:w="1920" w:type="dxa"/>
            <w:noWrap w:val="0"/>
            <w:vAlign w:val="center"/>
          </w:tcPr>
          <w:p>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1</w:t>
            </w:r>
          </w:p>
        </w:tc>
        <w:tc>
          <w:tcPr>
            <w:tcW w:w="2888" w:type="dxa"/>
            <w:noWrap w:val="0"/>
            <w:vAlign w:val="center"/>
          </w:tcPr>
          <w:p>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项</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二、配送清单</w:t>
      </w:r>
    </w:p>
    <w:tbl>
      <w:tblPr>
        <w:tblStyle w:val="9"/>
        <w:tblW w:w="11115" w:type="dxa"/>
        <w:tblInd w:w="-13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0"/>
        <w:gridCol w:w="1695"/>
        <w:gridCol w:w="1218"/>
        <w:gridCol w:w="3717"/>
        <w:gridCol w:w="2520"/>
        <w:gridCol w:w="885"/>
        <w:gridCol w:w="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耗材名称</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规格型号</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技术要求</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使用范围</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基准单价（元）</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压力蒸汽灭菌化学指示胶粘带</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bookmarkStart w:id="1" w:name="OLE_LINK15"/>
            <w:r>
              <w:rPr>
                <w:rFonts w:hint="eastAsia" w:ascii="宋体" w:hAnsi="宋体" w:eastAsia="宋体" w:cs="宋体"/>
                <w:sz w:val="21"/>
                <w:szCs w:val="21"/>
                <w:highlight w:val="none"/>
                <w:lang w:val="en-US" w:eastAsia="zh-CN"/>
              </w:rPr>
              <w:t>55m/卷</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highlight w:val="none"/>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参考规格：5卷/盒，6盒/箱；</w:t>
            </w:r>
          </w:p>
          <w:p>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主要成分：柠檬酸；</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3.避光、室温、通风、干燥、密封保存；</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4.有效期≥22个月。</w:t>
            </w:r>
            <w:bookmarkEnd w:id="1"/>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用于医疗机构压力蒸汽灭菌包裹外标识，用于封包同时做灭菌外观化学指示。</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压力蒸汽灭菌化学指示卡</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highlight w:val="none"/>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1.参考规格：200片；</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2.避光、室温、通风、干燥、密封保存；</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3.具有防水性能；</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4.有效期≥22个月。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适用于医疗防疫机构对134℃、4min的预真空压力蒸汽灭菌效果的化学监测。</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0.4</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3"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压力蒸汽灭菌爬行式化学指示卡</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1.参考规格：200片；</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2.储存于15℃-30℃的干燥环境（相对湿度小于60%），避光（包括太阳光、荧光灯及紫外线消毒灯光）；</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3.有效期≥24个月。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适用于医疗防疫机构对121℃-135℃压力蒸汽灭菌效果的化学监测。</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B-D预警测试包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1.参考规格：40个/箱；</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2.储存条件：避光存放，相对湿度小于50%；</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3.有效期≥24个月。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适用于134℃、3,5min预真空压力蒸汽灭菌器空气排出和蒸汽渗透性能的测试。</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压力蒸汽灭菌化学测试包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1.参考规格：100个/盒；</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2.储存条件：储存于15℃-30℃的干燥环境，相对湿度小于60%；</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3.有效期≥24个月。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适用于134℃预真空压力蒸汽灭菌效果的批量监测。</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压力蒸汽灭菌化学指示标签</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1.参考规格：840片/包；</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2.储存条件：避光、置于室温、通风等场所保存；</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3.有效期≥24个月。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用于医疗机构压力蒸汽灭菌物品包的封包捆扎，固定灭菌包装，防止灭菌过程中包装散开。</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0.12</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压力蒸汽灭菌封包胶粘带</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55m/卷</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参考规格：5卷/盒，6盒/箱；</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2.储存条件：避光、置于室温、通风等场所保存；</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3.有效期≥24个月。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用于医疗机构压力蒸汽灭菌物品包的封包捆扎，固定灭菌包装，防止灭菌过程中包装散开。</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6"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锐器保护套</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各规格包括不限于1.4mm*3.2mm*45mm、2.4mm*4.5mm*45mm、4.5mm*7.2mm*45mm、6mm*8.2mm*45mm、7.5mm*10mm*45mm等</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1.可用于压力蒸汽、环氧乙烷、低温蒸汽甲醛灭菌；</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套在尖锐医疗器械的刃、尖等部位，在灭菌过程中对人身安全及灭菌包装材料的保护，同时防止塑料袋和器械包破损。</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医疗器械喷雾型润滑防锈剂</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250ml/瓶</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1.参考规格：250ml/瓶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2.主要成分：水溶性基础油、非离子表面活性剂、快干剂等；</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3.有效期≥36个月。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主要用于检查打包时对医疗器械进行补充润滑剂防锈。也可用于医疗器械的常规手工润滑、保养和防锈。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压力蒸汽灭菌极速生物挑战包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1、参考规格：15套/箱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2、存放与15℃-30℃的干燥环境；</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3.有效期≥24个月；</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4、提供压力蒸汽灭菌极速生物阅读器使用。</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用于医疗机构压力蒸汽灭菌器的灭菌效果生物监测。</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114</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封口测试纸(高温)</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1.参考规格：100片/盒-高温覆膜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2.塑料膜与测试纸集成的设计；</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3.有效期≥36个月。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用于高温医用封口机封口质量检测，检验灭菌包装袋热封的完整性、密封性。</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封口测试纸(等离子)</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1.参考规格：100片/盒-高温覆膜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2.塑料膜与测试纸集成的设计；</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3.有效期≥36个月。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用于过氧化氢等离子低温灭菌配套封口机的封口质量检测。</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环氧乙烷灭菌化学指示胶带</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55m/卷</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1、参考规格：1卷/盒；</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2.有效期≥12个月。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用于环氧乙烷灭菌物品外包装封包与化学指示。</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环氧乙烷灭菌效果监测快速生物挑战包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1参考规格：15套/箱</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2.提供环氧乙烷快速生物阅读器使用；</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3.有效期≥12个月。</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用于环氧乙烷灭菌器的灭菌效果生物监测。</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医用包装无纺布</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100*100cm</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1.重量:60克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3.医用包装无纺布印有生产日期及有效期。</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适用于压力蒸汽灭菌、环氧乙烷灭菌、过氧化氢等离子灭菌以及低温甲醛灭菌的医疗器械灭菌的包装。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4.8</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医用包装无纺布</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80*80cm</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1.重量:60克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3.医用包装无纺布印有生产日期及有效期。</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适用于压力蒸汽灭菌、环氧乙烷灭菌、过氧化氢等离子灭菌以及低温甲醛灭菌的医疗器械灭菌的包装。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医用包装无纺布</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60*60cm</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1.重量:60克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3.医用包装无纺布印有生产日期及有效期。</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适用于压力蒸汽灭菌、环氧乙烷灭菌、过氧化氢等离子灭菌以及低温甲醛灭菌的医疗器械灭菌的包装。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1.6</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8"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18</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医用包装无纺布</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120*120cm</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1.重量:60克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3.医用包装无纺布印有生产日期及有效期。</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适用于压力蒸汽灭菌、环氧乙烷灭菌、过氧化氢等离子灭菌以及低温甲醛灭菌的医疗器械灭菌的包装。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5.8</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19</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灭菌指示包装袋和卷(张）(卷装切片）</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250mm*300mm（330张）</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0.8</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灭菌指示包装袋和卷(张）(卷装切片）</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250mm*350mm（280张）</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21</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灭菌指示包装袋和卷(张）(卷装切片）</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200mm*400mm(250张）</w:t>
            </w:r>
          </w:p>
        </w:tc>
        <w:tc>
          <w:tcPr>
            <w:tcW w:w="37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灭菌指示包装袋和卷(卷装）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宽75mm，200m/卷</w:t>
            </w: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1.重量：70克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155</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灭菌指示包装袋和卷(卷装）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宽250mm，200m/卷</w:t>
            </w: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1.重量：70克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480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灭菌指示包装袋和卷(卷装）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宽300mm，200m/卷</w:t>
            </w: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1.重量：70克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520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灭菌指示包装袋和卷(卷装）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宽200mm，200m/卷</w:t>
            </w: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1.重量：70克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26</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灭菌指示包装袋和卷(卷装）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宽150mm，200m/卷</w:t>
            </w: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1.重量：70克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27</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灭菌指示包装袋和卷(卷装）</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宽100mm，200m/卷</w:t>
            </w: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1.重量：70克</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2.有效期≥24个月,灭菌后有效阻菌期为180天。</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适用于压力蒸汽灭菌、环氧乙烷灭菌包装。</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190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4"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压力蒸汽灭菌过程化学验证装置</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z w:val="21"/>
                <w:szCs w:val="21"/>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参考规格：100次/盒</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1.产品配套指示卡检验标准符合压力蒸汽灭菌第五类化学指示物的要求，</w:t>
            </w:r>
            <w:r>
              <w:rPr>
                <w:rFonts w:hint="eastAsia" w:ascii="宋体" w:hAnsi="宋体" w:eastAsia="宋体" w:cs="宋体"/>
                <w:b/>
                <w:bCs/>
                <w:sz w:val="21"/>
                <w:szCs w:val="21"/>
                <w:lang w:val="en-US" w:eastAsia="zh-CN"/>
              </w:rPr>
              <w:t>产品装置检验标准有卫生安全评价报告。</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2.产品应用于压力蒸汽灭菌的批量监测放行。</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3.管路材质为聚四氟乙烯，内径约2mm，长度约1.5m，单盲端。</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4.产品配套指示卡正面覆膜，灭菌后膜无损坏、不脱落，背面粘贴有双面胶，方便粘贴记录。</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5.与标准测试包做对比（检测报告可佐证）。</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1800</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6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环氧乙烷灭菌化学指示卡</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sz w:val="21"/>
                <w:szCs w:val="21"/>
                <w:lang w:val="en-US" w:eastAsia="zh-CN"/>
              </w:rPr>
            </w:pPr>
          </w:p>
        </w:tc>
        <w:tc>
          <w:tcPr>
            <w:tcW w:w="371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参考规格：200片/包</w:t>
            </w:r>
          </w:p>
        </w:tc>
        <w:tc>
          <w:tcPr>
            <w:tcW w:w="252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符合四类指示物标准。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片</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w:t>
      </w:r>
      <w:r>
        <w:rPr>
          <w:rFonts w:hint="eastAsia" w:ascii="宋体" w:hAnsi="宋体" w:eastAsia="宋体" w:cs="宋体"/>
          <w:b/>
          <w:bCs/>
          <w:sz w:val="24"/>
          <w:szCs w:val="24"/>
          <w:lang w:val="en-US" w:eastAsia="zh-CN"/>
        </w:rPr>
        <w:t>1、具体以实际发生为准，以实际发生进行结算。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服务期内，所配送试剂耗材中有属于安徽省医药集中采购平台范围交易目录产品的，则配送产品必须为目录内产品，并提供产品流水号，在安徽省集中采购平台有限价的不得高于平台限价，若为带量采购产品，则严格按带量采购相关政策和文件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3、本项目如与国家、安徽省、马鞍山市医用耗材采购相关政策冲突，需严格按照相关政策执行。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jc w:val="center"/>
        <w:textAlignment w:val="auto"/>
        <w:rPr>
          <w:rFonts w:hint="eastAsia" w:ascii="宋体" w:hAnsi="宋体"/>
          <w:b/>
          <w:sz w:val="28"/>
          <w:szCs w:val="28"/>
          <w:lang w:val="en-US" w:eastAsia="zh-CN"/>
        </w:rPr>
      </w:pPr>
      <w:r>
        <w:rPr>
          <w:rFonts w:hint="eastAsia" w:ascii="宋体" w:hAnsi="宋体"/>
          <w:b/>
          <w:sz w:val="28"/>
          <w:szCs w:val="28"/>
          <w:lang w:val="en-US" w:eastAsia="zh-CN"/>
        </w:rPr>
        <w:t>三、商务要求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1、服务规范：有国家标准的执行国家标准；无国家标准的执行行业标准；无行业标准的执行地方标准；无地方标准的执行企业标准。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2、服务地点：马鞍山市中医院（采购人指定地点）。</w:t>
      </w:r>
    </w:p>
    <w:p>
      <w:pPr>
        <w:pStyle w:val="8"/>
        <w:snapToGrid w:val="0"/>
        <w:spacing w:before="0" w:beforeAutospacing="0" w:after="0" w:afterAutospacing="0" w:line="480" w:lineRule="exact"/>
        <w:ind w:firstLine="482" w:firstLineChars="200"/>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3、服务期限：2年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注：自合同签订之日起计算，第一年度服务期满前，采购人对供应商进行年度考核，若考核不合格采购人有权终止合同，合同期内按需供货。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、成交供应商保证所配送产品和提供的服务完全符合本项目规定的规格、性能，货物和服务质量及要求满足相关标准。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default" w:ascii="宋体" w:hAnsi="宋体" w:eastAsia="宋体" w:cs="宋体"/>
          <w:b/>
          <w:bCs/>
          <w:sz w:val="24"/>
          <w:szCs w:val="24"/>
          <w:highlight w:val="yellow"/>
          <w:lang w:val="en-US" w:eastAsia="zh-CN"/>
        </w:rPr>
      </w:pP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lang w:val="en-US" w:eastAsia="zh-CN"/>
        </w:rPr>
        <w:t>、产品</w:t>
      </w:r>
      <w:r>
        <w:rPr>
          <w:rFonts w:hint="eastAsia" w:ascii="宋体" w:hAnsi="宋体" w:cs="宋体"/>
          <w:b/>
          <w:bCs/>
          <w:sz w:val="24"/>
          <w:szCs w:val="24"/>
          <w:highlight w:val="yellow"/>
          <w:lang w:val="en-US" w:eastAsia="zh-CN"/>
        </w:rPr>
        <w:t>配送</w:t>
      </w:r>
      <w:r>
        <w:rPr>
          <w:rFonts w:hint="eastAsia" w:ascii="宋体" w:hAnsi="宋体" w:eastAsia="宋体" w:cs="宋体"/>
          <w:b/>
          <w:bCs/>
          <w:sz w:val="24"/>
          <w:szCs w:val="24"/>
          <w:highlight w:val="yellow"/>
          <w:lang w:val="en-US" w:eastAsia="zh-CN"/>
        </w:rPr>
        <w:t>有效期：供应商供货时所提供的货物距离产品有效期到期的时间不得少于12个月。</w:t>
      </w:r>
    </w:p>
    <w:p>
      <w:pPr>
        <w:pStyle w:val="3"/>
        <w:ind w:firstLine="482" w:firstLineChars="200"/>
        <w:rPr>
          <w:rFonts w:hint="default" w:ascii="宋体" w:hAnsi="宋体" w:eastAsia="宋体" w:cs="宋体"/>
          <w:b/>
          <w:bCs/>
          <w:kern w:val="2"/>
          <w:sz w:val="24"/>
          <w:szCs w:val="24"/>
          <w:highlight w:val="yellow"/>
          <w:lang w:val="en-US" w:eastAsia="zh-CN" w:bidi="ar-SA"/>
        </w:rPr>
      </w:pPr>
      <w:r>
        <w:rPr>
          <w:rFonts w:hint="eastAsia" w:ascii="宋体" w:hAnsi="宋体" w:eastAsia="宋体" w:cs="宋体"/>
          <w:b/>
          <w:bCs/>
          <w:kern w:val="2"/>
          <w:sz w:val="24"/>
          <w:szCs w:val="24"/>
          <w:highlight w:val="yellow"/>
          <w:lang w:val="en-US" w:eastAsia="zh-CN" w:bidi="ar-SA"/>
        </w:rPr>
        <w:t>6、供货期：自接到医院通知7个日历内供货。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7</w:t>
      </w:r>
      <w:r>
        <w:rPr>
          <w:rFonts w:hint="eastAsia" w:ascii="宋体" w:hAnsi="宋体" w:eastAsia="宋体" w:cs="宋体"/>
          <w:sz w:val="24"/>
          <w:szCs w:val="24"/>
          <w:lang w:val="en-US" w:eastAsia="zh-CN"/>
        </w:rPr>
        <w:t>、成交供应商在项目实施过程中，国家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8</w:t>
      </w:r>
      <w:r>
        <w:rPr>
          <w:rFonts w:hint="eastAsia" w:ascii="宋体" w:hAnsi="宋体" w:eastAsia="宋体" w:cs="宋体"/>
          <w:sz w:val="24"/>
          <w:szCs w:val="24"/>
          <w:lang w:val="en-US" w:eastAsia="zh-CN"/>
        </w:rPr>
        <w:t>、采购人对成交供应商配送产品中出现的破损、不合格产品及不符合国家管理规定的产品有权拒收。采购人拒收后，成交供应商应及时将被拒收的配送产品更换为合格产品提供给采购人，不得影响采购人正常使用，否则视为成交供应商逾期配送产品并按照合同约定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9</w:t>
      </w:r>
      <w:r>
        <w:rPr>
          <w:rFonts w:hint="eastAsia" w:ascii="宋体" w:hAnsi="宋体" w:eastAsia="宋体" w:cs="宋体"/>
          <w:sz w:val="24"/>
          <w:szCs w:val="24"/>
          <w:lang w:val="en-US" w:eastAsia="zh-CN"/>
        </w:rPr>
        <w:t>、所有货物（包括零部件）须为全新的、未使用过的原装正品。提交货物（含相关服务）的技术参数和配置应与招标文件的要求及其投标文件的采购内容及总体要求响应表（如果被评标委员会接受的话）相一致。若招标文件及投标文件中无相应说明，则以国家有关部门最新颁布的相应标准及规范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10</w:t>
      </w:r>
      <w:r>
        <w:rPr>
          <w:rFonts w:hint="eastAsia" w:ascii="宋体" w:hAnsi="宋体" w:eastAsia="宋体" w:cs="宋体"/>
          <w:sz w:val="24"/>
          <w:szCs w:val="24"/>
          <w:lang w:val="en-US" w:eastAsia="zh-CN"/>
        </w:rPr>
        <w:t>、如货物属于国家强制性目录范围内的，则必须符合国家相关强制性要求。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1</w:t>
      </w:r>
      <w:r>
        <w:rPr>
          <w:rFonts w:hint="eastAsia" w:ascii="宋体" w:hAnsi="宋体" w:cs="宋体"/>
          <w:b/>
          <w:bCs/>
          <w:sz w:val="24"/>
          <w:szCs w:val="24"/>
          <w:highlight w:val="yellow"/>
          <w:lang w:val="en-US" w:eastAsia="zh-CN"/>
        </w:rPr>
        <w:t>1</w:t>
      </w:r>
      <w:r>
        <w:rPr>
          <w:rFonts w:hint="eastAsia" w:ascii="宋体" w:hAnsi="宋体" w:eastAsia="宋体" w:cs="宋体"/>
          <w:b/>
          <w:bCs/>
          <w:sz w:val="24"/>
          <w:szCs w:val="24"/>
          <w:highlight w:val="yellow"/>
          <w:lang w:val="en-US" w:eastAsia="zh-CN"/>
        </w:rPr>
        <w:t>、付款方式：本项目据实结算，分批供货。每批货验收合格后12个月后支付该批次金额100%。第二年按照此种方式支付。</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注：（1）成交供应商在采购人支付金额达到最高限价的80%时，应及时通报采购人，成交供应商未按时履行通报义务造成实际费用超出当年合同总金额的，采购人不予支付超出费用。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（2）费用结算标准=∑（耗材实际使用数量*基准单价）×综合费率。采购人每年累计支付金额不超过148079元。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12、耗材发生滞销，如三个月及以上无科室申领使用，或月使用量减少50%及以上，医院有权要求退货，并不予支付需退货的货款，耗材成交供应商无条件执行，否则医院有权单方面终止采购合同。</w:t>
      </w:r>
    </w:p>
    <w:p>
      <w:pPr>
        <w:ind w:firstLine="480" w:firstLineChars="200"/>
        <w:rPr>
          <w:rFonts w:hint="eastAsia"/>
          <w:lang w:val="en-US" w:eastAsia="zh-CN"/>
        </w:rPr>
      </w:pPr>
      <w:r>
        <w:rPr>
          <w:rFonts w:hint="eastAsia" w:ascii="宋体" w:hAnsi="宋体" w:eastAsia="宋体" w:cs="宋体"/>
          <w:sz w:val="24"/>
          <w:szCs w:val="24"/>
          <w:lang w:val="en-US" w:eastAsia="zh-CN"/>
        </w:rPr>
        <w:t>13、项目总报价包含了履行本项目的全部费用，以及完成本项目所需要的其他费用及所有价内价外税金及合理利润。</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CC1ABB"/>
    <w:multiLevelType w:val="singleLevel"/>
    <w:tmpl w:val="F2CC1ABB"/>
    <w:lvl w:ilvl="0" w:tentative="0">
      <w:start w:val="1"/>
      <w:numFmt w:val="decimal"/>
      <w:lvlText w:val="%1."/>
      <w:lvlJc w:val="left"/>
      <w:pPr>
        <w:tabs>
          <w:tab w:val="left" w:pos="312"/>
        </w:tabs>
      </w:pPr>
    </w:lvl>
  </w:abstractNum>
  <w:abstractNum w:abstractNumId="1">
    <w:nsid w:val="67203FB4"/>
    <w:multiLevelType w:val="singleLevel"/>
    <w:tmpl w:val="67203FB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26ED"/>
    <w:rsid w:val="0055416E"/>
    <w:rsid w:val="1AF8647A"/>
    <w:rsid w:val="1B970EB9"/>
    <w:rsid w:val="1C82622E"/>
    <w:rsid w:val="1FD92EF2"/>
    <w:rsid w:val="27EC2FAC"/>
    <w:rsid w:val="29852488"/>
    <w:rsid w:val="2C2021AB"/>
    <w:rsid w:val="2FCE6D7B"/>
    <w:rsid w:val="37A31DD7"/>
    <w:rsid w:val="398834D0"/>
    <w:rsid w:val="407C0AF1"/>
    <w:rsid w:val="41034D34"/>
    <w:rsid w:val="42BC0F55"/>
    <w:rsid w:val="4AA56AF8"/>
    <w:rsid w:val="4AF8490A"/>
    <w:rsid w:val="4BA024A0"/>
    <w:rsid w:val="53595652"/>
    <w:rsid w:val="53AD5A5E"/>
    <w:rsid w:val="55130D8B"/>
    <w:rsid w:val="57184653"/>
    <w:rsid w:val="5B8D1AC1"/>
    <w:rsid w:val="600F24A1"/>
    <w:rsid w:val="637D3D93"/>
    <w:rsid w:val="6C3E6CB1"/>
    <w:rsid w:val="6D984C2E"/>
    <w:rsid w:val="6E8E0CC7"/>
    <w:rsid w:val="6FF21425"/>
    <w:rsid w:val="71044DC6"/>
    <w:rsid w:val="73DA15BF"/>
    <w:rsid w:val="74AD0824"/>
    <w:rsid w:val="77667DAC"/>
    <w:rsid w:val="77915136"/>
    <w:rsid w:val="77E86AC9"/>
    <w:rsid w:val="796C5003"/>
    <w:rsid w:val="7AA406D1"/>
    <w:rsid w:val="7F455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line="372" w:lineRule="auto"/>
      <w:outlineLvl w:val="3"/>
    </w:pPr>
    <w:rPr>
      <w:rFonts w:ascii="Arial" w:hAnsi="Arial" w:eastAsia="仿宋"/>
      <w:b/>
      <w:sz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rPr>
      <w:rFonts w:ascii="Arial" w:hAnsi="Arial" w:eastAsia="黑体"/>
      <w:b/>
      <w:sz w:val="32"/>
    </w:rPr>
  </w:style>
  <w:style w:type="paragraph" w:styleId="4">
    <w:name w:val="Body Text Indent"/>
    <w:basedOn w:val="1"/>
    <w:next w:val="1"/>
    <w:qFormat/>
    <w:uiPriority w:val="0"/>
    <w:pPr>
      <w:ind w:firstLine="560" w:firstLineChars="200"/>
    </w:pPr>
    <w:rPr>
      <w:rFonts w:ascii="宋体" w:hAnsi="宋体"/>
      <w:bCs/>
      <w:sz w:val="28"/>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文字2"/>
    <w:basedOn w:val="3"/>
    <w:qFormat/>
    <w:uiPriority w:val="0"/>
    <w:pPr>
      <w:adjustRightInd w:val="0"/>
      <w:spacing w:after="60" w:afterLines="0" w:line="360" w:lineRule="atLeast"/>
      <w:ind w:left="72" w:leftChars="30" w:right="72" w:rightChars="30"/>
      <w:jc w:val="center"/>
      <w:textAlignment w:val="baseline"/>
    </w:pPr>
    <w:rPr>
      <w:rFonts w:hAnsi="Times New Roman"/>
      <w:b w:val="0"/>
      <w:kern w:val="0"/>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5209</Words>
  <Characters>5742</Characters>
  <Lines>0</Lines>
  <Paragraphs>0</Paragraphs>
  <TotalTime>42</TotalTime>
  <ScaleCrop>false</ScaleCrop>
  <LinksUpToDate>false</LinksUpToDate>
  <CharactersWithSpaces>5854</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2026-08-21T01:42:00Z</dcterms:created>
  <dc:creator>Administrator</dc:creator>
  <cp:lastModifiedBy>绝世撒旦</cp:lastModifiedBy>
  <cp:lastPrinted>2026-09-09T09:04:00Z</cp:lastPrinted>
  <dcterms:modified xsi:type="dcterms:W3CDTF">2026-09-09T09:52:36Z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DA0E35A411414B8CAD5C83964EDA7D32</vt:lpwstr>
  </property>
  <property fmtid="{D5CDD505-2E9C-101B-9397-08002B2CF9AE}" pid="4" name="KSOTemplateDocerSaveRecord">
    <vt:lpwstr>eyJoZGlkIjoiNTg5Zjk5ODIyOTNkMWZhMjFhYTA5Mjk5ZmJmZjdjZjIiLCJ1c2VySWQiOiI0MzkxNjI2NzYifQ==</vt:lpwstr>
  </property>
</Properties>
</file>