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74ED09">
      <w:pPr>
        <w:keepNext/>
        <w:keepLines/>
        <w:pageBreakBefore w:val="0"/>
        <w:widowControl w:val="0"/>
        <w:kinsoku/>
        <w:wordWrap/>
        <w:overflowPunct/>
        <w:topLinePunct w:val="0"/>
        <w:autoSpaceDE/>
        <w:autoSpaceDN/>
        <w:bidi w:val="0"/>
        <w:adjustRightInd/>
        <w:spacing w:line="460" w:lineRule="exact"/>
        <w:jc w:val="center"/>
        <w:outlineLvl w:val="0"/>
        <w:rPr>
          <w:rFonts w:hint="eastAsia" w:ascii="Times New Roman" w:hAnsi="Times New Roman" w:eastAsia="仿宋_GB2312" w:cs="Times New Roman"/>
          <w:b/>
          <w:bCs/>
          <w:kern w:val="2"/>
          <w:sz w:val="24"/>
          <w:szCs w:val="24"/>
          <w:lang w:val="en-US" w:eastAsia="zh-CN" w:bidi="ar-SA"/>
        </w:rPr>
      </w:pPr>
      <w:r>
        <w:rPr>
          <w:rFonts w:hint="eastAsia" w:ascii="仿宋_GB2312" w:hAnsi="仿宋_GB2312" w:eastAsia="仿宋_GB2312" w:cs="仿宋_GB2312"/>
          <w:b/>
          <w:bCs/>
          <w:color w:val="auto"/>
          <w:kern w:val="2"/>
          <w:sz w:val="28"/>
          <w:szCs w:val="28"/>
          <w:highlight w:val="yellow"/>
          <w:lang w:val="en-US" w:eastAsia="zh-CN" w:bidi="ar-SA"/>
        </w:rPr>
        <w:t>（本次公示的采购需求为初步需求，具体以采购文件为准）</w:t>
      </w:r>
    </w:p>
    <w:p w14:paraId="6DAC0A41">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321" w:firstLineChars="100"/>
        <w:jc w:val="center"/>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马鞍山市中医院自助终端设备维保服务内容及总体要求</w:t>
      </w:r>
    </w:p>
    <w:p w14:paraId="5C1F485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321" w:firstLineChars="100"/>
        <w:jc w:val="center"/>
        <w:textAlignment w:val="auto"/>
        <w:rPr>
          <w:rFonts w:hint="eastAsia" w:asciiTheme="minorEastAsia" w:hAnsiTheme="minorEastAsia" w:eastAsiaTheme="minorEastAsia" w:cstheme="minorEastAsia"/>
          <w:b/>
          <w:bCs/>
          <w:sz w:val="32"/>
          <w:szCs w:val="32"/>
          <w:lang w:val="en-US" w:eastAsia="zh-CN"/>
        </w:rPr>
      </w:pPr>
    </w:p>
    <w:p w14:paraId="40467D0B">
      <w:pPr>
        <w:keepNext w:val="0"/>
        <w:keepLines w:val="0"/>
        <w:pageBreakBefore w:val="0"/>
        <w:widowControl/>
        <w:kinsoku/>
        <w:wordWrap/>
        <w:overflowPunct/>
        <w:topLinePunct w:val="0"/>
        <w:autoSpaceDE/>
        <w:autoSpaceDN/>
        <w:bidi w:val="0"/>
        <w:adjustRightInd/>
        <w:snapToGrid/>
        <w:spacing w:line="480" w:lineRule="exact"/>
        <w:ind w:left="0" w:leftChars="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一、采购预算</w:t>
      </w:r>
    </w:p>
    <w:p w14:paraId="626F20E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0" w:firstLineChars="1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项目预算（人民币）：</w:t>
      </w:r>
      <w:r>
        <w:rPr>
          <w:rFonts w:hint="eastAsia" w:ascii="宋体" w:hAnsi="宋体" w:eastAsia="宋体" w:cs="宋体"/>
          <w:b w:val="0"/>
          <w:bCs w:val="0"/>
          <w:color w:val="auto"/>
          <w:sz w:val="24"/>
          <w:szCs w:val="24"/>
          <w:highlight w:val="none"/>
          <w:lang w:val="en-US" w:eastAsia="zh-CN"/>
        </w:rPr>
        <w:t>8.278</w:t>
      </w:r>
      <w:r>
        <w:rPr>
          <w:rFonts w:hint="eastAsia" w:asciiTheme="minorEastAsia" w:hAnsiTheme="minorEastAsia" w:eastAsiaTheme="minorEastAsia" w:cstheme="minorEastAsia"/>
          <w:sz w:val="24"/>
          <w:szCs w:val="24"/>
          <w:lang w:val="en-US" w:eastAsia="zh-CN"/>
        </w:rPr>
        <w:t>万元；</w:t>
      </w:r>
    </w:p>
    <w:p w14:paraId="57A2331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0" w:firstLineChars="1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最高限价（人民币）：</w:t>
      </w:r>
      <w:r>
        <w:rPr>
          <w:rFonts w:hint="eastAsia" w:ascii="宋体" w:hAnsi="宋体" w:eastAsia="宋体" w:cs="宋体"/>
          <w:b w:val="0"/>
          <w:bCs w:val="0"/>
          <w:color w:val="auto"/>
          <w:sz w:val="24"/>
          <w:szCs w:val="24"/>
          <w:highlight w:val="none"/>
          <w:lang w:val="en-US" w:eastAsia="zh-CN"/>
        </w:rPr>
        <w:t>8.278</w:t>
      </w:r>
      <w:r>
        <w:rPr>
          <w:rFonts w:hint="eastAsia" w:asciiTheme="minorEastAsia" w:hAnsiTheme="minorEastAsia" w:eastAsiaTheme="minorEastAsia" w:cstheme="minorEastAsia"/>
          <w:sz w:val="24"/>
          <w:szCs w:val="24"/>
          <w:lang w:val="en-US" w:eastAsia="zh-CN"/>
        </w:rPr>
        <w:t>万元。</w:t>
      </w:r>
    </w:p>
    <w:p w14:paraId="2C8961B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jc w:val="both"/>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kern w:val="2"/>
          <w:sz w:val="24"/>
          <w:szCs w:val="24"/>
          <w:lang w:val="en-US" w:eastAsia="zh-CN" w:bidi="ar-SA"/>
        </w:rPr>
        <w:t>二、</w:t>
      </w:r>
      <w:r>
        <w:rPr>
          <w:rFonts w:hint="eastAsia" w:asciiTheme="minorEastAsia" w:hAnsiTheme="minorEastAsia" w:eastAsiaTheme="minorEastAsia" w:cstheme="minorEastAsia"/>
          <w:b/>
          <w:bCs/>
          <w:sz w:val="24"/>
          <w:szCs w:val="24"/>
          <w:lang w:val="en-US" w:eastAsia="zh-CN"/>
        </w:rPr>
        <w:t>采购内容及相关要求</w:t>
      </w:r>
    </w:p>
    <w:p w14:paraId="1BAF3633">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1" w:firstLineChars="10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（一）采购清单</w:t>
      </w:r>
    </w:p>
    <w:tbl>
      <w:tblPr>
        <w:tblStyle w:val="1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0"/>
        <w:gridCol w:w="5470"/>
        <w:gridCol w:w="1001"/>
        <w:gridCol w:w="1048"/>
      </w:tblGrid>
      <w:tr w14:paraId="1666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ign w:val="center"/>
          </w:tcPr>
          <w:p w14:paraId="57A2521C">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序号</w:t>
            </w:r>
          </w:p>
        </w:tc>
        <w:tc>
          <w:tcPr>
            <w:tcW w:w="0" w:type="auto"/>
            <w:noWrap/>
            <w:vAlign w:val="center"/>
          </w:tcPr>
          <w:p w14:paraId="5FC817B4">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服务名称（标的名称）</w:t>
            </w:r>
          </w:p>
        </w:tc>
        <w:tc>
          <w:tcPr>
            <w:tcW w:w="0" w:type="auto"/>
            <w:noWrap w:val="0"/>
            <w:vAlign w:val="center"/>
          </w:tcPr>
          <w:p w14:paraId="6FCCD106">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数量</w:t>
            </w:r>
          </w:p>
        </w:tc>
        <w:tc>
          <w:tcPr>
            <w:tcW w:w="1048" w:type="dxa"/>
            <w:noWrap/>
            <w:vAlign w:val="center"/>
          </w:tcPr>
          <w:p w14:paraId="55361814">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单位</w:t>
            </w:r>
          </w:p>
        </w:tc>
      </w:tr>
      <w:tr w14:paraId="56C64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FFFFFF"/>
            <w:noWrap/>
            <w:vAlign w:val="center"/>
          </w:tcPr>
          <w:p w14:paraId="6A1911ED">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宋体" w:hAnsi="宋体" w:eastAsia="宋体" w:cs="宋体"/>
                <w:color w:val="auto"/>
                <w:sz w:val="24"/>
                <w:szCs w:val="24"/>
                <w:highlight w:val="none"/>
                <w:lang w:val="en-US" w:eastAsia="zh-CN"/>
              </w:rPr>
              <w:t>1</w:t>
            </w:r>
          </w:p>
        </w:tc>
        <w:tc>
          <w:tcPr>
            <w:tcW w:w="0" w:type="auto"/>
            <w:shd w:val="clear" w:color="auto" w:fill="FFFFFF"/>
            <w:noWrap/>
            <w:vAlign w:val="center"/>
          </w:tcPr>
          <w:p w14:paraId="0116CB38">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eastAsia="黑体" w:asciiTheme="minorEastAsia" w:hAnsiTheme="minorEastAsia" w:cstheme="minorEastAsia"/>
                <w:b/>
                <w:bCs w:val="0"/>
                <w:i w:val="0"/>
                <w:sz w:val="24"/>
                <w:szCs w:val="24"/>
                <w:lang w:val="en-US" w:eastAsia="zh-CN"/>
              </w:rPr>
            </w:pPr>
            <w:r>
              <w:rPr>
                <w:rFonts w:hint="eastAsia" w:ascii="宋体" w:hAnsi="宋体" w:eastAsia="宋体" w:cs="宋体"/>
                <w:color w:val="auto"/>
                <w:sz w:val="24"/>
                <w:szCs w:val="24"/>
                <w:highlight w:val="none"/>
                <w:lang w:val="en-US" w:eastAsia="zh-CN"/>
              </w:rPr>
              <w:t>马鞍山市中医院自助终端设备维保</w:t>
            </w:r>
          </w:p>
        </w:tc>
        <w:tc>
          <w:tcPr>
            <w:tcW w:w="0" w:type="auto"/>
            <w:shd w:val="clear" w:color="auto" w:fill="FFFFFF"/>
            <w:noWrap w:val="0"/>
            <w:vAlign w:val="center"/>
          </w:tcPr>
          <w:p w14:paraId="6446343C">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宋体" w:hAnsi="宋体" w:eastAsia="宋体" w:cs="宋体"/>
                <w:color w:val="auto"/>
                <w:sz w:val="24"/>
                <w:szCs w:val="24"/>
                <w:highlight w:val="none"/>
                <w:lang w:val="en-US" w:eastAsia="zh-CN"/>
              </w:rPr>
              <w:t>1</w:t>
            </w:r>
          </w:p>
        </w:tc>
        <w:tc>
          <w:tcPr>
            <w:tcW w:w="1048" w:type="dxa"/>
            <w:shd w:val="clear" w:color="auto" w:fill="FFFFFF"/>
            <w:noWrap/>
            <w:vAlign w:val="center"/>
          </w:tcPr>
          <w:p w14:paraId="467FDFAC">
            <w:pPr>
              <w:keepNext w:val="0"/>
              <w:keepLines w:val="0"/>
              <w:pageBreakBefore w:val="0"/>
              <w:widowControl w:val="0"/>
              <w:tabs>
                <w:tab w:val="left" w:pos="7020"/>
              </w:tabs>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val="0"/>
                <w:bCs w:val="0"/>
                <w:sz w:val="24"/>
                <w:szCs w:val="24"/>
                <w:lang w:val="en-US" w:eastAsia="zh-CN"/>
              </w:rPr>
            </w:pPr>
            <w:r>
              <w:rPr>
                <w:rFonts w:hint="eastAsia" w:ascii="宋体" w:hAnsi="宋体" w:eastAsia="宋体" w:cs="宋体"/>
                <w:color w:val="auto"/>
                <w:sz w:val="24"/>
                <w:szCs w:val="24"/>
                <w:highlight w:val="none"/>
                <w:lang w:val="en-US" w:eastAsia="zh-CN"/>
              </w:rPr>
              <w:t>项</w:t>
            </w:r>
          </w:p>
        </w:tc>
      </w:tr>
    </w:tbl>
    <w:p w14:paraId="2F48775E">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jc w:val="center"/>
        <w:textAlignment w:val="auto"/>
        <w:rPr>
          <w:rFonts w:hint="eastAsia" w:asciiTheme="minorEastAsia" w:hAnsiTheme="minorEastAsia" w:eastAsiaTheme="minorEastAsia" w:cstheme="minorEastAsia"/>
          <w:b/>
          <w:bCs/>
          <w:sz w:val="24"/>
          <w:szCs w:val="24"/>
          <w:lang w:val="en-US" w:eastAsia="zh-CN"/>
        </w:rPr>
      </w:pPr>
    </w:p>
    <w:p w14:paraId="4D6716EC">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（二）项目概况</w:t>
      </w:r>
    </w:p>
    <w:p w14:paraId="167D4656">
      <w:pPr>
        <w:pStyle w:val="14"/>
        <w:keepNext w:val="0"/>
        <w:keepLines w:val="0"/>
        <w:pageBreakBefore w:val="0"/>
        <w:widowControl/>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b w:val="0"/>
          <w:i w:val="0"/>
          <w:strike w:val="0"/>
          <w:color w:val="auto"/>
          <w:sz w:val="24"/>
          <w:szCs w:val="24"/>
          <w:highlight w:val="none"/>
          <w:u w:val="none"/>
          <w:lang w:val="en-US" w:eastAsia="zh-CN"/>
        </w:rPr>
      </w:pPr>
      <w:r>
        <w:rPr>
          <w:rFonts w:hint="eastAsia" w:ascii="宋体" w:hAnsi="宋体" w:eastAsia="宋体" w:cs="宋体"/>
          <w:b w:val="0"/>
          <w:i w:val="0"/>
          <w:strike w:val="0"/>
          <w:color w:val="auto"/>
          <w:sz w:val="24"/>
          <w:szCs w:val="24"/>
          <w:highlight w:val="none"/>
          <w:u w:val="none"/>
          <w:lang w:val="en-US" w:eastAsia="zh-CN"/>
        </w:rPr>
        <w:t>随着我单位自助服务终端在各业务场景的广泛应用，为保障设备稳定运行、系统的为患者提供了便捷的就医自助业务办理，包括挂号预约、自助缴费、住院充值、业务查询、报告打印等业务功能；保障医院门诊、住院患者自助服务业务的正常有序运行，提升用户服务体验。</w:t>
      </w:r>
    </w:p>
    <w:p w14:paraId="4066BFF5">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jc w:val="center"/>
        <w:textAlignment w:val="auto"/>
        <w:rPr>
          <w:rFonts w:hint="eastAsia" w:ascii="宋体" w:hAnsi="宋体" w:eastAsia="宋体" w:cs="宋体"/>
          <w:color w:val="auto"/>
          <w:sz w:val="24"/>
          <w:szCs w:val="24"/>
          <w:highlight w:val="none"/>
          <w:lang w:val="en-US" w:eastAsia="zh-CN"/>
        </w:rPr>
      </w:pPr>
      <w:r>
        <w:rPr>
          <w:rFonts w:hint="eastAsia" w:asciiTheme="minorEastAsia" w:hAnsiTheme="minorEastAsia" w:eastAsiaTheme="minorEastAsia" w:cstheme="minorEastAsia"/>
          <w:b/>
          <w:bCs/>
          <w:sz w:val="24"/>
          <w:szCs w:val="24"/>
          <w:lang w:val="en-US" w:eastAsia="zh-CN"/>
        </w:rPr>
        <w:t>（三）设备概况</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3317"/>
        <w:gridCol w:w="1289"/>
        <w:gridCol w:w="2886"/>
      </w:tblGrid>
      <w:tr w14:paraId="5CD7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3" w:type="pct"/>
            <w:vAlign w:val="center"/>
          </w:tcPr>
          <w:p w14:paraId="3136EE1B">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pct"/>
            <w:vAlign w:val="center"/>
          </w:tcPr>
          <w:p w14:paraId="106B43EC">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设备类型</w:t>
            </w:r>
          </w:p>
        </w:tc>
        <w:tc>
          <w:tcPr>
            <w:tcW w:w="756" w:type="pct"/>
            <w:vAlign w:val="center"/>
          </w:tcPr>
          <w:p w14:paraId="14C82448">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数量</w:t>
            </w:r>
          </w:p>
        </w:tc>
        <w:tc>
          <w:tcPr>
            <w:tcW w:w="1693" w:type="pct"/>
            <w:vAlign w:val="center"/>
          </w:tcPr>
          <w:p w14:paraId="582F982F">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b/>
                <w:bCs/>
                <w:color w:val="auto"/>
                <w:sz w:val="24"/>
                <w:szCs w:val="24"/>
                <w:highlight w:val="none"/>
                <w:vertAlign w:val="baseline"/>
                <w:lang w:val="en-US"/>
              </w:rPr>
            </w:pPr>
            <w:r>
              <w:rPr>
                <w:rFonts w:hint="eastAsia" w:ascii="宋体" w:hAnsi="宋体" w:eastAsia="宋体" w:cs="宋体"/>
                <w:b/>
                <w:bCs/>
                <w:color w:val="auto"/>
                <w:sz w:val="24"/>
                <w:szCs w:val="24"/>
                <w:highlight w:val="none"/>
                <w:vertAlign w:val="baseline"/>
                <w:lang w:val="en-US" w:eastAsia="zh-CN"/>
              </w:rPr>
              <w:t>内容</w:t>
            </w:r>
          </w:p>
        </w:tc>
      </w:tr>
      <w:tr w14:paraId="7506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3" w:type="pct"/>
            <w:vAlign w:val="center"/>
          </w:tcPr>
          <w:p w14:paraId="45C3DB10">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946" w:type="pct"/>
            <w:vAlign w:val="center"/>
          </w:tcPr>
          <w:p w14:paraId="6DCF3D6D">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一站式自助服务系统软件</w:t>
            </w:r>
          </w:p>
        </w:tc>
        <w:tc>
          <w:tcPr>
            <w:tcW w:w="756" w:type="pct"/>
            <w:vAlign w:val="center"/>
          </w:tcPr>
          <w:p w14:paraId="131B4248">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1套</w:t>
            </w:r>
          </w:p>
        </w:tc>
        <w:tc>
          <w:tcPr>
            <w:tcW w:w="1693" w:type="pct"/>
            <w:vAlign w:val="center"/>
          </w:tcPr>
          <w:p w14:paraId="0B1A9F21">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vertAlign w:val="baseline"/>
                <w:lang w:val="en-US" w:eastAsia="zh-CN"/>
              </w:rPr>
            </w:pPr>
          </w:p>
        </w:tc>
      </w:tr>
      <w:tr w14:paraId="71EA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3" w:type="pct"/>
            <w:vAlign w:val="center"/>
          </w:tcPr>
          <w:p w14:paraId="23551CAD">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946" w:type="pct"/>
            <w:vAlign w:val="center"/>
          </w:tcPr>
          <w:p w14:paraId="71F01C8E">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自助挂号缴费一体机（有钱箱）</w:t>
            </w:r>
          </w:p>
        </w:tc>
        <w:tc>
          <w:tcPr>
            <w:tcW w:w="756" w:type="pct"/>
            <w:vAlign w:val="center"/>
          </w:tcPr>
          <w:p w14:paraId="04F71680">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bookmarkStart w:id="0" w:name="OLE_LINK6"/>
            <w:r>
              <w:rPr>
                <w:rFonts w:hint="eastAsia" w:ascii="宋体" w:hAnsi="宋体" w:eastAsia="宋体" w:cs="宋体"/>
                <w:color w:val="auto"/>
                <w:sz w:val="24"/>
                <w:szCs w:val="24"/>
                <w:highlight w:val="none"/>
                <w:lang w:val="en-US" w:eastAsia="zh-CN"/>
              </w:rPr>
              <w:t>台</w:t>
            </w:r>
            <w:bookmarkEnd w:id="0"/>
          </w:p>
        </w:tc>
        <w:tc>
          <w:tcPr>
            <w:tcW w:w="1693" w:type="pct"/>
            <w:vAlign w:val="center"/>
          </w:tcPr>
          <w:p w14:paraId="225B32C6">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全套硬件</w:t>
            </w:r>
          </w:p>
        </w:tc>
      </w:tr>
      <w:tr w14:paraId="0487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3" w:type="pct"/>
            <w:vAlign w:val="center"/>
          </w:tcPr>
          <w:p w14:paraId="21056B93">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46" w:type="pct"/>
            <w:vAlign w:val="center"/>
          </w:tcPr>
          <w:p w14:paraId="1B3F261D">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自助挂号缴费一体机（无钱箱）</w:t>
            </w:r>
          </w:p>
        </w:tc>
        <w:tc>
          <w:tcPr>
            <w:tcW w:w="756" w:type="pct"/>
            <w:vAlign w:val="center"/>
          </w:tcPr>
          <w:p w14:paraId="4AE78AE1">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5台</w:t>
            </w:r>
          </w:p>
        </w:tc>
        <w:tc>
          <w:tcPr>
            <w:tcW w:w="1693" w:type="pct"/>
            <w:vAlign w:val="center"/>
          </w:tcPr>
          <w:p w14:paraId="1FA17C32">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全套硬件</w:t>
            </w:r>
          </w:p>
        </w:tc>
      </w:tr>
      <w:tr w14:paraId="2A04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03" w:type="pct"/>
            <w:vAlign w:val="center"/>
          </w:tcPr>
          <w:p w14:paraId="4D6F31E0">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946" w:type="pct"/>
            <w:vAlign w:val="center"/>
          </w:tcPr>
          <w:p w14:paraId="0F6DAEF8">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住院预交金自助机</w:t>
            </w:r>
          </w:p>
        </w:tc>
        <w:tc>
          <w:tcPr>
            <w:tcW w:w="756" w:type="pct"/>
            <w:vAlign w:val="center"/>
          </w:tcPr>
          <w:p w14:paraId="678C2AAE">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13台</w:t>
            </w:r>
          </w:p>
        </w:tc>
        <w:tc>
          <w:tcPr>
            <w:tcW w:w="1693" w:type="pct"/>
            <w:vAlign w:val="center"/>
          </w:tcPr>
          <w:p w14:paraId="6CE56695">
            <w:pPr>
              <w:pStyle w:val="11"/>
              <w:keepNext w:val="0"/>
              <w:keepLines w:val="0"/>
              <w:pageBreakBefore w:val="0"/>
              <w:widowControl w:val="0"/>
              <w:kinsoku/>
              <w:wordWrap/>
              <w:overflowPunct/>
              <w:topLinePunct w:val="0"/>
              <w:autoSpaceDE/>
              <w:autoSpaceDN/>
              <w:bidi w:val="0"/>
              <w:adjustRightInd/>
              <w:snapToGrid/>
              <w:spacing w:after="0" w:line="240" w:lineRule="atLeast"/>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全套硬件</w:t>
            </w:r>
          </w:p>
        </w:tc>
      </w:tr>
    </w:tbl>
    <w:p w14:paraId="29D1B614">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line="480" w:lineRule="exact"/>
        <w:ind w:left="0" w:leftChars="0" w:right="0" w:rightChars="0"/>
        <w:jc w:val="both"/>
        <w:textAlignment w:val="auto"/>
        <w:rPr>
          <w:rFonts w:hint="eastAsia" w:asciiTheme="minorEastAsia" w:hAnsiTheme="minorEastAsia" w:eastAsiaTheme="minorEastAsia" w:cstheme="minorEastAsia"/>
          <w:b w:val="0"/>
          <w:bCs w:val="0"/>
          <w:sz w:val="24"/>
          <w:szCs w:val="24"/>
          <w:lang w:val="en-US" w:eastAsia="zh-CN"/>
        </w:rPr>
      </w:pPr>
    </w:p>
    <w:p w14:paraId="20F7B84A">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jc w:val="center"/>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（四）</w:t>
      </w:r>
      <w:r>
        <w:rPr>
          <w:rFonts w:hint="default" w:asciiTheme="minorEastAsia" w:hAnsiTheme="minorEastAsia" w:eastAsiaTheme="minorEastAsia" w:cstheme="minorEastAsia"/>
          <w:b/>
          <w:bCs/>
          <w:sz w:val="24"/>
          <w:szCs w:val="24"/>
          <w:lang w:val="en-US" w:eastAsia="zh-CN"/>
        </w:rPr>
        <w:t>维保</w:t>
      </w:r>
      <w:r>
        <w:rPr>
          <w:rFonts w:hint="eastAsia" w:asciiTheme="minorEastAsia" w:hAnsiTheme="minorEastAsia" w:eastAsiaTheme="minorEastAsia" w:cstheme="minorEastAsia"/>
          <w:b/>
          <w:bCs/>
          <w:sz w:val="24"/>
          <w:szCs w:val="24"/>
          <w:lang w:val="en-US" w:eastAsia="zh-CN"/>
        </w:rPr>
        <w:t>服务目标</w:t>
      </w:r>
    </w:p>
    <w:p w14:paraId="3E4D28AF">
      <w:pPr>
        <w:keepNext w:val="0"/>
        <w:keepLines w:val="0"/>
        <w:pageBreakBefore w:val="0"/>
        <w:widowControl w:val="0"/>
        <w:numPr>
          <w:numId w:val="0"/>
        </w:numPr>
        <w:kinsoku/>
        <w:wordWrap/>
        <w:overflowPunct/>
        <w:topLinePunct w:val="0"/>
        <w:autoSpaceDE/>
        <w:autoSpaceDN/>
        <w:bidi w:val="0"/>
        <w:adjustRightInd/>
        <w:snapToGrid/>
        <w:spacing w:beforeLines="0" w:afterLines="0" w:line="480"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1、保证系统软件安全稳定的运行，核心业务系统可用性不低于99%；</w:t>
      </w:r>
    </w:p>
    <w:p w14:paraId="050473C6">
      <w:pPr>
        <w:keepNext w:val="0"/>
        <w:keepLines w:val="0"/>
        <w:pageBreakBefore w:val="0"/>
        <w:widowControl w:val="0"/>
        <w:numPr>
          <w:numId w:val="0"/>
        </w:numPr>
        <w:kinsoku/>
        <w:wordWrap/>
        <w:overflowPunct/>
        <w:topLinePunct w:val="0"/>
        <w:autoSpaceDE/>
        <w:autoSpaceDN/>
        <w:bidi w:val="0"/>
        <w:adjustRightInd/>
        <w:snapToGrid/>
        <w:spacing w:beforeLines="0" w:afterLines="0" w:line="480"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2、保证终端设备硬件及模块稳定的运行，开机正常运行率不低于99%；</w:t>
      </w:r>
    </w:p>
    <w:p w14:paraId="167B18DD">
      <w:pPr>
        <w:keepNext w:val="0"/>
        <w:keepLines w:val="0"/>
        <w:pageBreakBefore w:val="0"/>
        <w:widowControl w:val="0"/>
        <w:numPr>
          <w:numId w:val="0"/>
        </w:numPr>
        <w:kinsoku/>
        <w:wordWrap/>
        <w:overflowPunct/>
        <w:topLinePunct w:val="0"/>
        <w:autoSpaceDE/>
        <w:autoSpaceDN/>
        <w:bidi w:val="0"/>
        <w:adjustRightInd/>
        <w:snapToGrid/>
        <w:spacing w:beforeLines="0" w:afterLines="0" w:line="480" w:lineRule="exact"/>
        <w:ind w:lef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故3、障报修响应率100%，修复率100%；</w:t>
      </w:r>
    </w:p>
    <w:p w14:paraId="036CE576">
      <w:pPr>
        <w:keepNext w:val="0"/>
        <w:keepLines w:val="0"/>
        <w:pageBreakBefore w:val="0"/>
        <w:widowControl w:val="0"/>
        <w:numPr>
          <w:numId w:val="0"/>
        </w:numPr>
        <w:kinsoku/>
        <w:wordWrap/>
        <w:overflowPunct/>
        <w:topLinePunct w:val="0"/>
        <w:autoSpaceDE/>
        <w:autoSpaceDN/>
        <w:bidi w:val="0"/>
        <w:adjustRightInd/>
        <w:snapToGrid/>
        <w:spacing w:beforeLines="0" w:afterLines="0" w:line="480" w:lineRule="exact"/>
        <w:ind w:leftChars="0"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4、巡检完成率100%；</w:t>
      </w:r>
    </w:p>
    <w:p w14:paraId="4F9A634E">
      <w:pPr>
        <w:keepNext w:val="0"/>
        <w:keepLines w:val="0"/>
        <w:pageBreakBefore w:val="0"/>
        <w:widowControl w:val="0"/>
        <w:numPr>
          <w:numId w:val="0"/>
        </w:numPr>
        <w:kinsoku/>
        <w:wordWrap/>
        <w:overflowPunct/>
        <w:topLinePunct w:val="0"/>
        <w:autoSpaceDE/>
        <w:autoSpaceDN/>
        <w:bidi w:val="0"/>
        <w:adjustRightInd/>
        <w:snapToGrid/>
        <w:spacing w:beforeLines="0" w:afterLines="0" w:line="480"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5、缩短设备平均修复时间，提升终端用户满意度，杜绝因维保不及时导致患者投诉事件。</w:t>
      </w:r>
    </w:p>
    <w:p w14:paraId="4254A0B5">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center"/>
        <w:textAlignment w:val="auto"/>
        <w:rPr>
          <w:rFonts w:hint="eastAsia" w:asciiTheme="minorEastAsia" w:hAnsiTheme="minorEastAsia" w:eastAsiaTheme="minorEastAsia" w:cstheme="minorEastAsia"/>
          <w:b/>
          <w:bCs/>
          <w:sz w:val="24"/>
          <w:szCs w:val="24"/>
          <w:lang w:val="en-US" w:eastAsia="zh-CN"/>
        </w:rPr>
      </w:pPr>
    </w:p>
    <w:p w14:paraId="1E6B706A">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2" w:firstLineChars="200"/>
        <w:jc w:val="center"/>
        <w:textAlignment w:val="auto"/>
        <w:rPr>
          <w:rFonts w:hint="default"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（五）</w:t>
      </w:r>
      <w:bookmarkStart w:id="1" w:name="OLE_LINK4"/>
      <w:r>
        <w:rPr>
          <w:rFonts w:hint="default" w:asciiTheme="minorEastAsia" w:hAnsiTheme="minorEastAsia" w:eastAsiaTheme="minorEastAsia" w:cstheme="minorEastAsia"/>
          <w:b/>
          <w:bCs/>
          <w:sz w:val="24"/>
          <w:szCs w:val="24"/>
          <w:lang w:val="en-US" w:eastAsia="zh-CN"/>
        </w:rPr>
        <w:t>维保</w:t>
      </w:r>
      <w:r>
        <w:rPr>
          <w:rFonts w:hint="eastAsia" w:asciiTheme="minorEastAsia" w:hAnsiTheme="minorEastAsia" w:eastAsiaTheme="minorEastAsia" w:cstheme="minorEastAsia"/>
          <w:b/>
          <w:bCs/>
          <w:sz w:val="24"/>
          <w:szCs w:val="24"/>
          <w:lang w:val="en-US" w:eastAsia="zh-CN"/>
        </w:rPr>
        <w:t>服务内容</w:t>
      </w:r>
    </w:p>
    <w:p w14:paraId="2DB0FBD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成交供应商需提供全流程、全包式、预防性+应急性一体化维保服务，服务内容包含但不限于以下全部事项：</w:t>
      </w:r>
    </w:p>
    <w:p w14:paraId="1A35567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left="0" w:leftChars="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1、硬件全套维保</w:t>
      </w:r>
    </w:p>
    <w:p w14:paraId="35B243B6">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lang w:val="en-US" w:eastAsia="zh-CN"/>
        </w:rPr>
        <w:t>负责所有自助终端整机硬件免费维修、故障排查、损坏配件免费更换，涵盖：工控主机、触摸屏、信息屏、身份证阅读器、社保卡读卡器、凭条打印机、报告打印机、二维码扫描模块等全部硬件部件；</w:t>
      </w:r>
    </w:p>
    <w:p w14:paraId="44F7781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1.</w:t>
      </w:r>
      <w:r>
        <w:rPr>
          <w:rFonts w:hint="default"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lang w:val="en-US" w:eastAsia="zh-CN"/>
        </w:rPr>
        <w:t>对老化、性能衰减、高频故障部件主动预判、免费更换，保障设备硬件健康运行。</w:t>
      </w:r>
    </w:p>
    <w:p w14:paraId="57CFF5F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left="0" w:leftChars="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2、软件与系统运维</w:t>
      </w:r>
    </w:p>
    <w:p w14:paraId="22D9662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2.</w:t>
      </w: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lang w:val="en-US" w:eastAsia="zh-CN"/>
        </w:rPr>
        <w:t>负责自助终端操作系统、终端业务程序、打印驱动、读卡驱动、扫码驱动等日常维护、故障维修、异常报错等问题处理；</w:t>
      </w:r>
    </w:p>
    <w:p w14:paraId="358B8CC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2.</w:t>
      </w:r>
      <w:r>
        <w:rPr>
          <w:rFonts w:hint="default"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lang w:val="en-US" w:eastAsia="zh-CN"/>
        </w:rPr>
        <w:t>配合医院完成系统补丁更新、漏洞修复等，杜绝病毒、程序闪退等问题；</w:t>
      </w:r>
    </w:p>
    <w:p w14:paraId="22E8E42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2.</w:t>
      </w:r>
      <w:r>
        <w:rPr>
          <w:rFonts w:hint="default" w:ascii="宋体" w:hAnsi="宋体" w:eastAsia="宋体" w:cs="宋体"/>
          <w:color w:val="auto"/>
          <w:kern w:val="2"/>
          <w:sz w:val="24"/>
          <w:szCs w:val="24"/>
          <w:lang w:val="en-US" w:eastAsia="zh-CN" w:bidi="ar-SA"/>
        </w:rPr>
        <w:t>3.</w:t>
      </w:r>
      <w:r>
        <w:rPr>
          <w:rFonts w:hint="eastAsia" w:ascii="宋体" w:hAnsi="宋体" w:eastAsia="宋体" w:cs="宋体"/>
          <w:color w:val="auto"/>
          <w:sz w:val="24"/>
          <w:szCs w:val="24"/>
          <w:highlight w:val="none"/>
          <w:lang w:val="en-US" w:eastAsia="zh-CN"/>
        </w:rPr>
        <w:t>保障自助系统与医院HIS、LIS、医保、支付平台等业务系统数据实时同步、稳定，及时处理卡顿、数据同步失败、交易异常、打印异常等各类问题。</w:t>
      </w:r>
    </w:p>
    <w:p w14:paraId="4800C67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2.</w:t>
      </w:r>
      <w:r>
        <w:rPr>
          <w:rFonts w:hint="default" w:ascii="宋体" w:hAnsi="宋体" w:eastAsia="宋体" w:cs="宋体"/>
          <w:color w:val="auto"/>
          <w:kern w:val="2"/>
          <w:sz w:val="24"/>
          <w:szCs w:val="24"/>
          <w:lang w:val="en-US" w:eastAsia="zh-CN" w:bidi="ar-SA"/>
        </w:rPr>
        <w:t>4.</w:t>
      </w:r>
      <w:r>
        <w:rPr>
          <w:rFonts w:hint="eastAsia" w:ascii="宋体" w:hAnsi="宋体" w:eastAsia="宋体" w:cs="宋体"/>
          <w:color w:val="auto"/>
          <w:sz w:val="24"/>
          <w:szCs w:val="24"/>
          <w:highlight w:val="none"/>
          <w:lang w:val="en-US" w:eastAsia="zh-CN"/>
        </w:rPr>
        <w:t>配合医院完成因医保等国家政策变更而需进行的接口升级及改造工作；</w:t>
      </w:r>
    </w:p>
    <w:bookmarkEnd w:id="1"/>
    <w:p w14:paraId="06303DB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left="0" w:leftChars="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3、定期巡检</w:t>
      </w:r>
    </w:p>
    <w:p w14:paraId="1BCECBF3">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3.</w:t>
      </w: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lang w:val="en-US" w:eastAsia="zh-CN"/>
        </w:rPr>
        <w:t>每季度不少于1次现场巡检</w:t>
      </w:r>
      <w:bookmarkStart w:id="2" w:name="OLE_LINK2"/>
      <w:r>
        <w:rPr>
          <w:rFonts w:hint="eastAsia" w:ascii="宋体" w:hAnsi="宋体" w:eastAsia="宋体" w:cs="宋体"/>
          <w:color w:val="auto"/>
          <w:sz w:val="24"/>
          <w:szCs w:val="24"/>
          <w:highlight w:val="none"/>
          <w:lang w:val="en-US" w:eastAsia="zh-CN"/>
        </w:rPr>
        <w:t>：整机硬件排查、整机性能检测、系统运行状态评估、安全隐患排查等，并出具巡检报告；</w:t>
      </w:r>
    </w:p>
    <w:p w14:paraId="0AED0EB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3.</w:t>
      </w:r>
      <w:r>
        <w:rPr>
          <w:rFonts w:hint="default"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lang w:val="en-US" w:eastAsia="zh-CN"/>
        </w:rPr>
        <w:t>重大节日前置巡检：遇五一、国庆、春节等国家法定长假及医院重大活动及评审，须于节前3个工作日内完成全覆盖专项巡检：巡检内容同上。</w:t>
      </w:r>
    </w:p>
    <w:p w14:paraId="25E40F0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left="0" w:leftChars="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4、</w:t>
      </w:r>
      <w:r>
        <w:rPr>
          <w:rFonts w:hint="eastAsia" w:ascii="宋体" w:hAnsi="宋体" w:eastAsia="宋体" w:cs="宋体"/>
          <w:b/>
          <w:bCs/>
          <w:color w:val="auto"/>
          <w:sz w:val="24"/>
          <w:szCs w:val="24"/>
          <w:highlight w:val="none"/>
          <w:lang w:val="en-US" w:eastAsia="zh-CN"/>
        </w:rPr>
        <w:t>配件保障服务</w:t>
      </w:r>
    </w:p>
    <w:p w14:paraId="7BE58D6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color w:val="auto"/>
          <w:highlight w:val="none"/>
          <w:lang w:eastAsia="zh-CN"/>
        </w:rPr>
      </w:pP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常用配件零等待、非常用配件快响应</w:t>
      </w:r>
      <w:r>
        <w:rPr>
          <w:rFonts w:hint="eastAsia" w:ascii="宋体" w:hAnsi="宋体" w:eastAsia="宋体" w:cs="宋体"/>
          <w:color w:val="auto"/>
          <w:sz w:val="24"/>
          <w:szCs w:val="24"/>
          <w:highlight w:val="none"/>
          <w:lang w:val="en-US" w:eastAsia="zh-CN"/>
        </w:rPr>
        <w:t>，且配件质量须与原厂配件一致或质量不低于原厂配件”，确保故障设备最短时间内恢复运行，最大限度减少对患者就医的影响</w:t>
      </w:r>
      <w:r>
        <w:rPr>
          <w:rFonts w:hint="eastAsia"/>
          <w:color w:val="auto"/>
          <w:highlight w:val="none"/>
          <w:lang w:eastAsia="zh-CN"/>
        </w:rPr>
        <w:t>。</w:t>
      </w:r>
    </w:p>
    <w:p w14:paraId="3FFD6E3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leftChars="0" w:firstLine="480" w:firstLineChars="200"/>
        <w:textAlignment w:val="auto"/>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具备完善备件库，可快速提供各类自助机易损配件，保障维修时效。</w:t>
      </w:r>
    </w:p>
    <w:p w14:paraId="0373657E">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left="0" w:leftChars="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5、</w:t>
      </w:r>
      <w:r>
        <w:rPr>
          <w:rFonts w:hint="eastAsia" w:ascii="宋体" w:hAnsi="宋体" w:eastAsia="宋体" w:cs="宋体"/>
          <w:b/>
          <w:bCs/>
          <w:color w:val="auto"/>
          <w:sz w:val="24"/>
          <w:szCs w:val="24"/>
          <w:highlight w:val="none"/>
          <w:lang w:val="en-US" w:eastAsia="zh-CN"/>
        </w:rPr>
        <w:t>故障应急保障</w:t>
      </w:r>
    </w:p>
    <w:p w14:paraId="0F28C07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建立分级响应机制，实行7*24小时全天候运维保障：</w:t>
      </w:r>
    </w:p>
    <w:bookmarkEnd w:id="2"/>
    <w:p w14:paraId="5700D7FF">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5.</w:t>
      </w: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lang w:val="en-US" w:eastAsia="zh-CN"/>
        </w:rPr>
        <w:t>故障响应时间：紧急故障≤15分钟；重大故障≤2小时；一般故障≤4小时；</w:t>
      </w:r>
    </w:p>
    <w:p w14:paraId="1C0AD48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5.</w:t>
      </w:r>
      <w:r>
        <w:rPr>
          <w:rFonts w:hint="default"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lang w:val="en-US" w:eastAsia="zh-CN"/>
        </w:rPr>
        <w:t>故障解决时间：紧急故障≤8小时；重大故障≤24小时；一般故障≤3个工作日。</w:t>
      </w:r>
      <w:bookmarkStart w:id="3" w:name="_GoBack"/>
      <w:bookmarkEnd w:id="3"/>
    </w:p>
    <w:p w14:paraId="5C6E703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left="0" w:leftChars="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6、</w:t>
      </w:r>
      <w:r>
        <w:rPr>
          <w:rFonts w:hint="eastAsia" w:ascii="宋体" w:hAnsi="宋体" w:eastAsia="宋体" w:cs="宋体"/>
          <w:b/>
          <w:bCs/>
          <w:color w:val="auto"/>
          <w:sz w:val="24"/>
          <w:szCs w:val="24"/>
          <w:highlight w:val="none"/>
          <w:lang w:val="en-US" w:eastAsia="zh-CN"/>
        </w:rPr>
        <w:t>数据与安全</w:t>
      </w:r>
    </w:p>
    <w:p w14:paraId="284959F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lang w:val="en-US" w:eastAsia="zh-CN" w:bidi="ar-SA"/>
        </w:rPr>
        <w:t>6.</w:t>
      </w:r>
      <w:r>
        <w:rPr>
          <w:rFonts w:hint="default" w:ascii="宋体" w:hAnsi="宋体" w:eastAsia="宋体" w:cs="宋体"/>
          <w:b w:val="0"/>
          <w:bCs w:val="0"/>
          <w:color w:val="auto"/>
          <w:kern w:val="2"/>
          <w:sz w:val="24"/>
          <w:szCs w:val="24"/>
          <w:lang w:val="en-US" w:eastAsia="zh-CN" w:bidi="ar-SA"/>
        </w:rPr>
        <w:t>1.</w:t>
      </w:r>
      <w:r>
        <w:rPr>
          <w:rFonts w:hint="default" w:ascii="宋体" w:hAnsi="宋体" w:eastAsia="宋体" w:cs="宋体"/>
          <w:b w:val="0"/>
          <w:bCs w:val="0"/>
          <w:color w:val="auto"/>
          <w:sz w:val="24"/>
          <w:szCs w:val="24"/>
          <w:highlight w:val="none"/>
          <w:lang w:val="en-US" w:eastAsia="zh-CN"/>
        </w:rPr>
        <w:t>严格遵守</w:t>
      </w:r>
      <w:r>
        <w:rPr>
          <w:rFonts w:hint="eastAsia" w:ascii="宋体" w:hAnsi="宋体" w:eastAsia="宋体" w:cs="宋体"/>
          <w:b w:val="0"/>
          <w:bCs w:val="0"/>
          <w:color w:val="auto"/>
          <w:sz w:val="24"/>
          <w:szCs w:val="24"/>
          <w:highlight w:val="none"/>
          <w:lang w:val="en-US" w:eastAsia="zh-CN"/>
        </w:rPr>
        <w:t>网络安全、</w:t>
      </w:r>
      <w:r>
        <w:rPr>
          <w:rFonts w:hint="default" w:ascii="宋体" w:hAnsi="宋体" w:eastAsia="宋体" w:cs="宋体"/>
          <w:b w:val="0"/>
          <w:bCs w:val="0"/>
          <w:color w:val="auto"/>
          <w:sz w:val="24"/>
          <w:szCs w:val="24"/>
          <w:highlight w:val="none"/>
          <w:lang w:val="en-US" w:eastAsia="zh-CN"/>
        </w:rPr>
        <w:t>数据安全规范</w:t>
      </w:r>
      <w:r>
        <w:rPr>
          <w:rFonts w:hint="eastAsia" w:ascii="宋体" w:hAnsi="宋体" w:eastAsia="宋体" w:cs="宋体"/>
          <w:b w:val="0"/>
          <w:bCs w:val="0"/>
          <w:color w:val="auto"/>
          <w:sz w:val="24"/>
          <w:szCs w:val="24"/>
          <w:highlight w:val="none"/>
          <w:lang w:val="en-US" w:eastAsia="zh-CN"/>
        </w:rPr>
        <w:t>；</w:t>
      </w:r>
    </w:p>
    <w:p w14:paraId="0A479B4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kern w:val="2"/>
          <w:sz w:val="24"/>
          <w:szCs w:val="24"/>
          <w:lang w:val="en-US" w:eastAsia="zh-CN" w:bidi="ar-SA"/>
        </w:rPr>
        <w:t>6.</w:t>
      </w:r>
      <w:r>
        <w:rPr>
          <w:rFonts w:hint="default" w:ascii="宋体" w:hAnsi="宋体" w:eastAsia="宋体" w:cs="宋体"/>
          <w:b w:val="0"/>
          <w:bCs w:val="0"/>
          <w:color w:val="auto"/>
          <w:kern w:val="2"/>
          <w:sz w:val="24"/>
          <w:szCs w:val="24"/>
          <w:lang w:val="en-US" w:eastAsia="zh-CN" w:bidi="ar-SA"/>
        </w:rPr>
        <w:t>2.</w:t>
      </w:r>
      <w:r>
        <w:rPr>
          <w:rFonts w:hint="default" w:ascii="宋体" w:hAnsi="宋体" w:eastAsia="宋体" w:cs="宋体"/>
          <w:b w:val="0"/>
          <w:bCs w:val="0"/>
          <w:color w:val="auto"/>
          <w:sz w:val="24"/>
          <w:szCs w:val="24"/>
          <w:highlight w:val="none"/>
          <w:lang w:val="en-US" w:eastAsia="zh-CN"/>
        </w:rPr>
        <w:t>维修过程中不得留存、泄露任何业务数据</w:t>
      </w:r>
      <w:r>
        <w:rPr>
          <w:rFonts w:hint="eastAsia" w:ascii="宋体" w:hAnsi="宋体" w:eastAsia="宋体" w:cs="宋体"/>
          <w:b w:val="0"/>
          <w:bCs w:val="0"/>
          <w:color w:val="auto"/>
          <w:sz w:val="24"/>
          <w:szCs w:val="24"/>
          <w:highlight w:val="none"/>
          <w:lang w:val="en-US" w:eastAsia="zh-CN"/>
        </w:rPr>
        <w:t>。</w:t>
      </w:r>
    </w:p>
    <w:p w14:paraId="27711F5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left="0" w:leftChars="0"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7、配套增值服务</w:t>
      </w:r>
    </w:p>
    <w:p w14:paraId="52496CB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7.</w:t>
      </w:r>
      <w:r>
        <w:rPr>
          <w:rFonts w:hint="default" w:ascii="宋体" w:hAnsi="宋体" w:eastAsia="宋体" w:cs="宋体"/>
          <w:color w:val="auto"/>
          <w:kern w:val="2"/>
          <w:sz w:val="24"/>
          <w:szCs w:val="24"/>
          <w:lang w:val="en-US" w:eastAsia="zh-CN" w:bidi="ar-SA"/>
        </w:rPr>
        <w:t>1.</w:t>
      </w:r>
      <w:r>
        <w:rPr>
          <w:rFonts w:hint="eastAsia" w:ascii="宋体" w:hAnsi="宋体" w:eastAsia="宋体" w:cs="宋体"/>
          <w:color w:val="auto"/>
          <w:sz w:val="24"/>
          <w:szCs w:val="24"/>
          <w:highlight w:val="none"/>
          <w:lang w:val="en-US" w:eastAsia="zh-CN"/>
        </w:rPr>
        <w:t>免费为医院后勤、导诊人员开展设备日常操作、简单故障判断、基础应急处理培训等；</w:t>
      </w:r>
    </w:p>
    <w:p w14:paraId="0EA2FB9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lang w:val="en-US" w:eastAsia="zh-CN" w:bidi="ar-SA"/>
        </w:rPr>
        <w:t>7.</w:t>
      </w:r>
      <w:r>
        <w:rPr>
          <w:rFonts w:hint="default" w:ascii="宋体" w:hAnsi="宋体" w:eastAsia="宋体" w:cs="宋体"/>
          <w:color w:val="auto"/>
          <w:kern w:val="2"/>
          <w:sz w:val="24"/>
          <w:szCs w:val="24"/>
          <w:lang w:val="en-US" w:eastAsia="zh-CN" w:bidi="ar-SA"/>
        </w:rPr>
        <w:t>2.</w:t>
      </w:r>
      <w:r>
        <w:rPr>
          <w:rFonts w:hint="eastAsia" w:ascii="宋体" w:hAnsi="宋体" w:eastAsia="宋体" w:cs="宋体"/>
          <w:color w:val="auto"/>
          <w:sz w:val="24"/>
          <w:szCs w:val="24"/>
          <w:highlight w:val="none"/>
          <w:lang w:val="en-US" w:eastAsia="zh-CN"/>
        </w:rPr>
        <w:t>如遇医院重大等级评审，凡涉及到自助机检查的，须安排专人</w:t>
      </w:r>
      <w:r>
        <w:rPr>
          <w:rFonts w:hint="default" w:ascii="宋体" w:hAnsi="宋体" w:eastAsia="宋体" w:cs="宋体"/>
          <w:color w:val="auto"/>
          <w:sz w:val="24"/>
          <w:szCs w:val="24"/>
          <w:highlight w:val="none"/>
          <w:lang w:val="en-US" w:eastAsia="zh-CN"/>
        </w:rPr>
        <w:t>提供驻场保障</w:t>
      </w:r>
      <w:r>
        <w:rPr>
          <w:rFonts w:hint="eastAsia" w:ascii="宋体" w:hAnsi="宋体" w:eastAsia="宋体" w:cs="宋体"/>
          <w:color w:val="auto"/>
          <w:sz w:val="24"/>
          <w:szCs w:val="24"/>
          <w:highlight w:val="none"/>
          <w:lang w:val="en-US" w:eastAsia="zh-CN"/>
        </w:rPr>
        <w:t>。</w:t>
      </w:r>
    </w:p>
    <w:p w14:paraId="07DB8EC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0" w:firstLineChars="200"/>
        <w:textAlignment w:val="auto"/>
        <w:rPr>
          <w:rFonts w:hint="eastAsia" w:asciiTheme="minorEastAsia" w:hAnsiTheme="minorEastAsia" w:eastAsiaTheme="minorEastAsia" w:cstheme="minorEastAsia"/>
          <w:b/>
          <w:bCs/>
          <w:sz w:val="24"/>
          <w:szCs w:val="24"/>
          <w:lang w:val="en-US" w:eastAsia="zh-CN"/>
        </w:rPr>
      </w:pPr>
      <w:r>
        <w:rPr>
          <w:rFonts w:hint="eastAsia" w:ascii="宋体" w:hAnsi="宋体" w:eastAsia="宋体" w:cs="宋体"/>
          <w:color w:val="auto"/>
          <w:kern w:val="2"/>
          <w:sz w:val="24"/>
          <w:szCs w:val="24"/>
          <w:lang w:val="en-US" w:eastAsia="zh-CN" w:bidi="ar-SA"/>
        </w:rPr>
        <w:t>7.3</w:t>
      </w:r>
      <w:r>
        <w:rPr>
          <w:rFonts w:hint="default"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highlight w:val="none"/>
          <w:lang w:val="en-US" w:eastAsia="zh-CN"/>
        </w:rPr>
        <w:t>免费对医院新增的业务需求进行专业综合评审并给出建议。</w:t>
      </w:r>
    </w:p>
    <w:p w14:paraId="4B3C186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1" w:firstLineChars="100"/>
        <w:jc w:val="center"/>
        <w:textAlignment w:val="auto"/>
        <w:rPr>
          <w:rFonts w:hint="eastAsia" w:asciiTheme="minorEastAsia" w:hAnsiTheme="minorEastAsia" w:eastAsiaTheme="minorEastAsia" w:cstheme="minorEastAsia"/>
          <w:b/>
          <w:bCs/>
          <w:sz w:val="24"/>
          <w:szCs w:val="24"/>
          <w:lang w:val="en-US" w:eastAsia="zh-CN"/>
        </w:rPr>
      </w:pPr>
    </w:p>
    <w:p w14:paraId="0A9E71B6">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241" w:firstLineChars="10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（六）商务要求</w:t>
      </w:r>
    </w:p>
    <w:p w14:paraId="10032D58">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val="zh-CN" w:eastAsia="zh-CN"/>
        </w:rPr>
        <w:t>服务规范：有国家标准的执行国家标准；无国家标准的执行行业标准；无行业标准的执行地方标准；无地方标准的执行企业标准。</w:t>
      </w:r>
    </w:p>
    <w:p w14:paraId="0D612E33">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2、技术支持</w:t>
      </w:r>
    </w:p>
    <w:p w14:paraId="5A84BB98">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2.1 成交供应商应向采购人提供全方位及时而有效的技术支持和服务。</w:t>
      </w:r>
    </w:p>
    <w:p w14:paraId="416D1275">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2.2 如成交供应商发生兼并、重组，采购人本项目的建设、维护等相关工作必须由新组建的公司按磋商文件及响应文件承担相应的义务。</w:t>
      </w:r>
    </w:p>
    <w:p w14:paraId="438BFB1C">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3、成交供应商需设有专门的服务队伍，建立完备的响应机制，负责解答采购人在使用中遇到的问题，及时提出解决问题的建议和操作方法。</w:t>
      </w:r>
    </w:p>
    <w:p w14:paraId="2DF086B2">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 响应文件中为本项目配备的人员力量，在合同履行期间，成交供应商须按采购人要求到达本项目现场提供相应服务，否则采购人有权解除采购合同。</w:t>
      </w:r>
    </w:p>
    <w:p w14:paraId="4D29BFB4">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3.2、服务响应时间：成交供应商需设有专门的服务队伍，建立完备的响应机制。如出现服务问题，电话响应无法解决，成交供应商必须在接到电话 24 小时内到达现场并解决问题。</w:t>
      </w:r>
    </w:p>
    <w:p w14:paraId="02B555A0">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4、服务期限：</w:t>
      </w:r>
      <w:r>
        <w:rPr>
          <w:rFonts w:hint="eastAsia" w:asciiTheme="minorEastAsia" w:hAnsiTheme="minorEastAsia" w:eastAsiaTheme="minorEastAsia" w:cstheme="minorEastAsia"/>
          <w:b/>
          <w:bCs/>
          <w:kern w:val="2"/>
          <w:sz w:val="24"/>
          <w:szCs w:val="24"/>
          <w:lang w:val="en-US" w:eastAsia="zh-CN" w:bidi="ar-SA"/>
        </w:rPr>
        <w:t>服务期三年。采取1+1+1模式，首次签订后，第二年对上一年度合同执行进行考核，考核合格可续签当年合同，考核不合格合同终止。</w:t>
      </w:r>
    </w:p>
    <w:p w14:paraId="290C9E71">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lang w:val="en-US" w:eastAsia="zh-CN"/>
        </w:rPr>
      </w:pPr>
      <w:r>
        <w:rPr>
          <w:rFonts w:hint="eastAsia" w:asciiTheme="minorEastAsia" w:hAnsiTheme="minorEastAsia" w:eastAsiaTheme="minorEastAsia" w:cstheme="minorEastAsia"/>
          <w:sz w:val="24"/>
          <w:szCs w:val="24"/>
          <w:lang w:val="en-US" w:eastAsia="zh-CN"/>
        </w:rPr>
        <w:t>5、服务地点：马鞍山市中医院（采购人指定地点）。</w:t>
      </w:r>
    </w:p>
    <w:p w14:paraId="013B648E">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2" w:firstLineChars="200"/>
        <w:jc w:val="both"/>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sz w:val="24"/>
          <w:szCs w:val="24"/>
          <w:lang w:val="en-US" w:eastAsia="zh-CN"/>
        </w:rPr>
        <w:t>6、进场时间：自</w:t>
      </w:r>
      <w:r>
        <w:rPr>
          <w:rFonts w:hint="eastAsia" w:asciiTheme="minorEastAsia" w:hAnsiTheme="minorEastAsia" w:eastAsiaTheme="minorEastAsia" w:cstheme="minorEastAsia"/>
          <w:b/>
          <w:bCs/>
          <w:kern w:val="2"/>
          <w:sz w:val="24"/>
          <w:szCs w:val="24"/>
          <w:lang w:val="en-US" w:eastAsia="zh-CN" w:bidi="ar-SA"/>
        </w:rPr>
        <w:t>合同签订之日起。</w:t>
      </w:r>
    </w:p>
    <w:p w14:paraId="314D3B1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480" w:lineRule="exact"/>
        <w:ind w:firstLine="482"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7、付款方式：合同款实行每年结算，在成交供应商切实履行了全部合同义务，经院方考核后于90日内支付相应的合同款。</w:t>
      </w:r>
    </w:p>
    <w:p w14:paraId="60E9345F">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lang w:val="zh-CN" w:eastAsia="zh-CN"/>
        </w:rPr>
        <w:t>成交供应商在项目实施过程中，国家对相关项目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14:paraId="4836960A">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lang w:val="zh-CN" w:eastAsia="zh-CN"/>
        </w:rPr>
        <w:t>、如货物属于国家强制性目录范围内的，则必须符合国家相关强制性要求。</w:t>
      </w:r>
    </w:p>
    <w:p w14:paraId="29A2253A">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zh-CN" w:eastAsia="zh-CN"/>
        </w:rPr>
        <w:t>、验收：</w:t>
      </w:r>
    </w:p>
    <w:p w14:paraId="4FE3E0F7">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zh-CN" w:eastAsia="zh-CN"/>
        </w:rPr>
        <w:t>.1采购人和相关部门按照磋商文件和招标响应文件进行验收。磋商文件没有规定和招标响应文件没有相应承诺的，按照下列原则进行验收：有国家标准的按照国家标准验收，没有国家标准的按行业标准验收，无行业标准的按地方或企业标准验收，成交供应商予以配合。涉及需要由其他相关行业主管部门验收的项目，采购人须约请相关部门和专家参加项目验收。</w:t>
      </w:r>
    </w:p>
    <w:p w14:paraId="34E49E5B">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zh-CN" w:eastAsia="zh-CN"/>
        </w:rPr>
      </w:pPr>
      <w:r>
        <w:rPr>
          <w:rFonts w:hint="eastAsia" w:asciiTheme="minorEastAsia" w:hAnsiTheme="minorEastAsia" w:eastAsiaTheme="minorEastAsia" w:cstheme="minorEastAsia"/>
          <w:sz w:val="24"/>
          <w:szCs w:val="24"/>
          <w:lang w:val="en-US" w:eastAsia="zh-CN"/>
        </w:rPr>
        <w:t>10</w:t>
      </w:r>
      <w:r>
        <w:rPr>
          <w:rFonts w:hint="eastAsia" w:asciiTheme="minorEastAsia" w:hAnsiTheme="minorEastAsia" w:eastAsiaTheme="minorEastAsia" w:cstheme="minorEastAsia"/>
          <w:sz w:val="24"/>
          <w:szCs w:val="24"/>
          <w:lang w:val="zh-CN" w:eastAsia="zh-CN"/>
        </w:rPr>
        <w:t>.2、采购人及相关行业主管部门对项目进行全面的验收，对验收中暴露出来的问题，成交供应商应及时进行整改，整改后仍达不到验收标准的，采购人有权取消成交供应商资格。</w:t>
      </w:r>
    </w:p>
    <w:p w14:paraId="651AF6EF">
      <w:pPr>
        <w:keepNext w:val="0"/>
        <w:keepLines w:val="0"/>
        <w:pageBreakBefore w:val="0"/>
        <w:widowControl w:val="0"/>
        <w:tabs>
          <w:tab w:val="left" w:pos="7020"/>
        </w:tabs>
        <w:kinsoku/>
        <w:wordWrap/>
        <w:overflowPunct/>
        <w:topLinePunct w:val="0"/>
        <w:autoSpaceDE/>
        <w:autoSpaceDN/>
        <w:bidi w:val="0"/>
        <w:adjustRightInd/>
        <w:snapToGrid/>
        <w:spacing w:line="480" w:lineRule="exact"/>
        <w:ind w:left="0" w:leftChars="0" w:firstLine="480" w:firstLineChars="2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11、</w:t>
      </w:r>
      <w:r>
        <w:rPr>
          <w:rFonts w:hint="eastAsia" w:asciiTheme="minorEastAsia" w:hAnsiTheme="minorEastAsia" w:eastAsiaTheme="minorEastAsia" w:cstheme="minorEastAsia"/>
          <w:sz w:val="24"/>
          <w:szCs w:val="24"/>
          <w:lang w:val="zh-CN" w:eastAsia="zh-CN"/>
        </w:rPr>
        <w:t>本项目总</w:t>
      </w:r>
      <w:r>
        <w:rPr>
          <w:rFonts w:hint="eastAsia" w:asciiTheme="minorEastAsia" w:hAnsiTheme="minorEastAsia" w:eastAsiaTheme="minorEastAsia" w:cstheme="minorEastAsia"/>
          <w:sz w:val="24"/>
          <w:szCs w:val="24"/>
          <w:lang w:val="en-US" w:eastAsia="zh-CN"/>
        </w:rPr>
        <w:t>报</w:t>
      </w:r>
      <w:r>
        <w:rPr>
          <w:rFonts w:hint="eastAsia" w:asciiTheme="minorEastAsia" w:hAnsiTheme="minorEastAsia" w:eastAsiaTheme="minorEastAsia" w:cstheme="minorEastAsia"/>
          <w:sz w:val="24"/>
          <w:szCs w:val="24"/>
          <w:lang w:val="zh-CN" w:eastAsia="zh-CN"/>
        </w:rPr>
        <w:t>价包含了交付使用前的全部费用及所有价内价外税金及合理利润等，</w:t>
      </w:r>
      <w:r>
        <w:rPr>
          <w:rFonts w:hint="eastAsia" w:asciiTheme="minorEastAsia" w:hAnsiTheme="minorEastAsia" w:eastAsiaTheme="minorEastAsia" w:cstheme="minorEastAsia"/>
          <w:sz w:val="24"/>
          <w:szCs w:val="24"/>
          <w:lang w:val="en-US" w:eastAsia="zh-CN"/>
        </w:rPr>
        <w:t>不再产生任何二次费用。</w:t>
      </w:r>
    </w:p>
    <w:p w14:paraId="2ED14146">
      <w:pP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br w:type="page"/>
      </w:r>
    </w:p>
    <w:p w14:paraId="7C5BC76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left="0" w:leftChars="0" w:firstLine="420" w:firstLineChars="0"/>
        <w:textAlignment w:val="auto"/>
        <w:rPr>
          <w:rStyle w:val="18"/>
          <w:rFonts w:hint="eastAsia" w:ascii="Times New Roman" w:hAnsi="Times New Roman" w:eastAsia="宋体" w:cs="Times New Roman"/>
          <w:color w:val="auto"/>
          <w:sz w:val="24"/>
          <w:szCs w:val="24"/>
          <w:highlight w:val="none"/>
          <w:lang w:val="en-US" w:eastAsia="zh-CN"/>
        </w:rPr>
      </w:pPr>
      <w:r>
        <w:rPr>
          <w:rStyle w:val="18"/>
          <w:rFonts w:hint="eastAsia" w:ascii="Times New Roman" w:hAnsi="Times New Roman" w:eastAsia="宋体" w:cs="Times New Roman"/>
          <w:color w:val="auto"/>
          <w:kern w:val="0"/>
          <w:sz w:val="32"/>
          <w:szCs w:val="24"/>
          <w:highlight w:val="none"/>
          <w:lang w:val="en-US" w:eastAsia="zh-CN" w:bidi="ar-SA"/>
        </w:rPr>
        <w:t>附件：  考核内容（由门诊部和信息科每季度考核）</w:t>
      </w:r>
    </w:p>
    <w:tbl>
      <w:tblPr>
        <w:tblStyle w:val="16"/>
        <w:tblW w:w="100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0"/>
        <w:gridCol w:w="881"/>
        <w:gridCol w:w="3891"/>
        <w:gridCol w:w="3697"/>
      </w:tblGrid>
      <w:tr w14:paraId="70F5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blHeader/>
          <w:jc w:val="center"/>
        </w:trPr>
        <w:tc>
          <w:tcPr>
            <w:tcW w:w="1630" w:type="dxa"/>
            <w:vAlign w:val="center"/>
          </w:tcPr>
          <w:p w14:paraId="1594138F">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维度</w:t>
            </w:r>
          </w:p>
        </w:tc>
        <w:tc>
          <w:tcPr>
            <w:tcW w:w="881" w:type="dxa"/>
            <w:vAlign w:val="center"/>
          </w:tcPr>
          <w:p w14:paraId="5041085B">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分值</w:t>
            </w:r>
          </w:p>
        </w:tc>
        <w:tc>
          <w:tcPr>
            <w:tcW w:w="3891" w:type="dxa"/>
            <w:vAlign w:val="center"/>
          </w:tcPr>
          <w:p w14:paraId="5C830D9C">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内容</w:t>
            </w:r>
          </w:p>
        </w:tc>
        <w:tc>
          <w:tcPr>
            <w:tcW w:w="3697" w:type="dxa"/>
            <w:vAlign w:val="center"/>
          </w:tcPr>
          <w:p w14:paraId="46924576">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评分要点</w:t>
            </w:r>
          </w:p>
        </w:tc>
      </w:tr>
      <w:tr w14:paraId="1E5FE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30" w:type="dxa"/>
            <w:vAlign w:val="center"/>
          </w:tcPr>
          <w:p w14:paraId="44EFAADD">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设备可用率</w:t>
            </w:r>
          </w:p>
        </w:tc>
        <w:tc>
          <w:tcPr>
            <w:tcW w:w="881" w:type="dxa"/>
            <w:vAlign w:val="center"/>
          </w:tcPr>
          <w:p w14:paraId="0477FDD2">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50</w:t>
            </w:r>
          </w:p>
        </w:tc>
        <w:tc>
          <w:tcPr>
            <w:tcW w:w="3891" w:type="dxa"/>
            <w:vAlign w:val="center"/>
          </w:tcPr>
          <w:p w14:paraId="2CB849E3">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设备完好率 / 开机率≥</w:t>
            </w:r>
            <w:r>
              <w:rPr>
                <w:rFonts w:hint="eastAsia" w:ascii="宋体" w:hAnsi="宋体" w:eastAsia="宋体" w:cs="宋体"/>
                <w:color w:val="auto"/>
                <w:sz w:val="24"/>
                <w:szCs w:val="24"/>
                <w:highlight w:val="none"/>
                <w:lang w:val="en-US" w:eastAsia="zh-CN"/>
              </w:rPr>
              <w:t>99%</w:t>
            </w:r>
          </w:p>
        </w:tc>
        <w:tc>
          <w:tcPr>
            <w:tcW w:w="3697" w:type="dxa"/>
            <w:vAlign w:val="center"/>
          </w:tcPr>
          <w:p w14:paraId="4D992C06">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99%得满，每降1%扣5分，低于95%本项0分</w:t>
            </w:r>
          </w:p>
        </w:tc>
      </w:tr>
      <w:tr w14:paraId="2A2CC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30" w:type="dxa"/>
            <w:vAlign w:val="center"/>
          </w:tcPr>
          <w:p w14:paraId="1BCFA814">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响应与修复</w:t>
            </w:r>
          </w:p>
        </w:tc>
        <w:tc>
          <w:tcPr>
            <w:tcW w:w="881" w:type="dxa"/>
            <w:vAlign w:val="center"/>
          </w:tcPr>
          <w:p w14:paraId="0F313E3C">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w:t>
            </w:r>
          </w:p>
        </w:tc>
        <w:tc>
          <w:tcPr>
            <w:tcW w:w="3891" w:type="dxa"/>
            <w:vAlign w:val="center"/>
          </w:tcPr>
          <w:p w14:paraId="192C7E1D">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平均故障响应</w:t>
            </w:r>
            <w:r>
              <w:rPr>
                <w:rFonts w:hint="eastAsia" w:ascii="宋体" w:hAnsi="宋体" w:eastAsia="宋体" w:cs="宋体"/>
                <w:color w:val="auto"/>
                <w:sz w:val="24"/>
                <w:szCs w:val="24"/>
                <w:highlight w:val="none"/>
                <w:lang w:val="en-US" w:eastAsia="zh-CN"/>
              </w:rPr>
              <w:t>及修复</w:t>
            </w:r>
            <w:r>
              <w:rPr>
                <w:rFonts w:hint="default" w:ascii="宋体" w:hAnsi="宋体" w:eastAsia="宋体" w:cs="宋体"/>
                <w:color w:val="auto"/>
                <w:sz w:val="24"/>
                <w:szCs w:val="24"/>
                <w:highlight w:val="none"/>
                <w:lang w:val="en-US" w:eastAsia="zh-CN"/>
              </w:rPr>
              <w:t>时间</w:t>
            </w:r>
            <w:r>
              <w:rPr>
                <w:rFonts w:hint="eastAsia" w:ascii="宋体" w:hAnsi="宋体" w:eastAsia="宋体" w:cs="宋体"/>
                <w:color w:val="auto"/>
                <w:sz w:val="24"/>
                <w:szCs w:val="24"/>
                <w:highlight w:val="none"/>
                <w:lang w:val="en-US" w:eastAsia="zh-CN"/>
              </w:rPr>
              <w:t>:参照服务内容第（五）条</w:t>
            </w:r>
          </w:p>
        </w:tc>
        <w:tc>
          <w:tcPr>
            <w:tcW w:w="3697" w:type="dxa"/>
            <w:vAlign w:val="center"/>
          </w:tcPr>
          <w:p w14:paraId="5AB2CE23">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按紧急/重大/一般的三级响应时效，每次超时扣3~7分</w:t>
            </w:r>
          </w:p>
        </w:tc>
      </w:tr>
      <w:tr w14:paraId="1FCDB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630" w:type="dxa"/>
            <w:vAlign w:val="center"/>
          </w:tcPr>
          <w:p w14:paraId="0062C30D">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巡检</w:t>
            </w:r>
          </w:p>
        </w:tc>
        <w:tc>
          <w:tcPr>
            <w:tcW w:w="881" w:type="dxa"/>
            <w:vAlign w:val="center"/>
          </w:tcPr>
          <w:p w14:paraId="1BE86900">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3891" w:type="dxa"/>
            <w:vAlign w:val="center"/>
          </w:tcPr>
          <w:p w14:paraId="50203A1D">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巡检与预防性维护</w:t>
            </w:r>
            <w:r>
              <w:rPr>
                <w:rFonts w:hint="eastAsia" w:ascii="宋体" w:hAnsi="宋体" w:eastAsia="宋体" w:cs="宋体"/>
                <w:color w:val="auto"/>
                <w:sz w:val="24"/>
                <w:szCs w:val="24"/>
                <w:highlight w:val="none"/>
                <w:lang w:val="en-US" w:eastAsia="zh-CN"/>
              </w:rPr>
              <w:t>：参照服务内容第（三）条</w:t>
            </w:r>
          </w:p>
        </w:tc>
        <w:tc>
          <w:tcPr>
            <w:tcW w:w="3697" w:type="dxa"/>
            <w:vAlign w:val="center"/>
          </w:tcPr>
          <w:p w14:paraId="44758564">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缺次不得分，无报告扣5分/次</w:t>
            </w:r>
          </w:p>
        </w:tc>
      </w:tr>
      <w:tr w14:paraId="286A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630" w:type="dxa"/>
            <w:vAlign w:val="center"/>
          </w:tcPr>
          <w:p w14:paraId="3C1EEE7C">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服务规范</w:t>
            </w:r>
          </w:p>
        </w:tc>
        <w:tc>
          <w:tcPr>
            <w:tcW w:w="881" w:type="dxa"/>
            <w:vAlign w:val="center"/>
          </w:tcPr>
          <w:p w14:paraId="4B7B8CA1">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w:t>
            </w:r>
          </w:p>
        </w:tc>
        <w:tc>
          <w:tcPr>
            <w:tcW w:w="3891" w:type="dxa"/>
            <w:vAlign w:val="center"/>
          </w:tcPr>
          <w:p w14:paraId="6D3D7E2F">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质量与服务类软指标</w:t>
            </w:r>
            <w:r>
              <w:rPr>
                <w:rFonts w:hint="eastAsia" w:ascii="宋体" w:hAnsi="宋体" w:eastAsia="宋体" w:cs="宋体"/>
                <w:color w:val="auto"/>
                <w:sz w:val="24"/>
                <w:szCs w:val="24"/>
                <w:highlight w:val="none"/>
                <w:lang w:val="en-US" w:eastAsia="zh-CN"/>
              </w:rPr>
              <w:t>：</w:t>
            </w:r>
          </w:p>
          <w:p w14:paraId="7970E80A">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门诊部/患者投诉：因自助机维保不到位导致有效投诉</w:t>
            </w:r>
          </w:p>
        </w:tc>
        <w:tc>
          <w:tcPr>
            <w:tcW w:w="3697" w:type="dxa"/>
            <w:vAlign w:val="center"/>
          </w:tcPr>
          <w:p w14:paraId="46490009">
            <w:pPr>
              <w:pStyle w:val="11"/>
              <w:keepNext w:val="0"/>
              <w:keepLines w:val="0"/>
              <w:pageBreakBefore w:val="0"/>
              <w:widowControl w:val="0"/>
              <w:kinsoku/>
              <w:wordWrap/>
              <w:overflowPunct/>
              <w:topLinePunct w:val="0"/>
              <w:autoSpaceDE/>
              <w:autoSpaceDN/>
              <w:bidi w:val="0"/>
              <w:adjustRightInd/>
              <w:snapToGrid w:val="0"/>
              <w:spacing w:after="0" w:line="240" w:lineRule="auto"/>
              <w:ind w:left="0" w:leftChars="0" w:right="0" w:rightChars="0" w:firstLine="0" w:firstLineChars="0"/>
              <w:jc w:val="center"/>
              <w:textAlignment w:val="auto"/>
              <w:rPr>
                <w:rFonts w:hint="default"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lang w:val="en-US" w:eastAsia="zh-CN"/>
              </w:rPr>
              <w:t>投诉打分，每次扣5~10分</w:t>
            </w:r>
          </w:p>
        </w:tc>
      </w:tr>
    </w:tbl>
    <w:p w14:paraId="1F7E5B29">
      <w:pPr>
        <w:pStyle w:val="12"/>
        <w:keepNext w:val="0"/>
        <w:keepLines w:val="0"/>
        <w:widowControl/>
        <w:suppressLineNumbers w:val="0"/>
        <w:spacing w:before="0" w:beforeAutospacing="0" w:after="0" w:afterAutospacing="0"/>
        <w:jc w:val="both"/>
        <w:rPr>
          <w:rStyle w:val="18"/>
          <w:rFonts w:hint="default" w:ascii="Times New Roman" w:hAnsi="Times New Roman" w:eastAsia="宋体" w:cs="Times New Roman"/>
          <w:color w:val="auto"/>
          <w:highlight w:val="none"/>
          <w:lang w:val="en-US" w:eastAsia="zh-CN"/>
        </w:rPr>
      </w:pPr>
    </w:p>
    <w:p w14:paraId="47BF14A1">
      <w:pPr>
        <w:pStyle w:val="12"/>
        <w:keepNext w:val="0"/>
        <w:keepLines w:val="0"/>
        <w:widowControl/>
        <w:suppressLineNumbers w:val="0"/>
        <w:rPr>
          <w:color w:val="auto"/>
          <w:highlight w:val="none"/>
        </w:rPr>
      </w:pPr>
      <w:r>
        <w:rPr>
          <w:rStyle w:val="18"/>
          <w:color w:val="auto"/>
          <w:highlight w:val="none"/>
        </w:rPr>
        <w:t>挂钩方式</w:t>
      </w:r>
      <w:r>
        <w:rPr>
          <w:rStyle w:val="18"/>
          <w:rFonts w:hint="eastAsia"/>
          <w:color w:val="auto"/>
          <w:highlight w:val="none"/>
          <w:lang w:eastAsia="zh-CN"/>
        </w:rPr>
        <w:t>（</w:t>
      </w:r>
      <w:r>
        <w:rPr>
          <w:rStyle w:val="18"/>
          <w:rFonts w:hint="eastAsia"/>
          <w:color w:val="auto"/>
          <w:highlight w:val="none"/>
          <w:lang w:val="en-US" w:eastAsia="zh-CN"/>
        </w:rPr>
        <w:t>按季度，以下服务费均为季度服务费，即中标价的四分之一</w:t>
      </w:r>
      <w:r>
        <w:rPr>
          <w:rStyle w:val="18"/>
          <w:rFonts w:hint="eastAsia"/>
          <w:color w:val="auto"/>
          <w:highlight w:val="none"/>
          <w:lang w:eastAsia="zh-CN"/>
        </w:rPr>
        <w:t>）</w:t>
      </w:r>
      <w:r>
        <w:rPr>
          <w:color w:val="auto"/>
          <w:highlight w:val="none"/>
        </w:rPr>
        <w:t>：</w:t>
      </w:r>
    </w:p>
    <w:p w14:paraId="7D62EC50">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Theme="minorHAnsi" w:hAnsiTheme="minorHAnsi" w:eastAsiaTheme="minorEastAsia" w:cstheme="minorBidi"/>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w:t>
      </w:r>
      <w:r>
        <w:rPr>
          <w:rFonts w:hint="eastAsia" w:asciiTheme="minorHAnsi" w:hAnsiTheme="minorHAnsi" w:eastAsiaTheme="minorEastAsia" w:cstheme="minorBidi"/>
          <w:color w:val="auto"/>
          <w:kern w:val="0"/>
          <w:sz w:val="24"/>
          <w:szCs w:val="24"/>
          <w:highlight w:val="none"/>
          <w:lang w:val="en-US" w:eastAsia="zh-CN" w:bidi="ar"/>
        </w:rPr>
        <w:t>≥90 分：支付全额服务费</w:t>
      </w:r>
    </w:p>
    <w:p w14:paraId="322357D1">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Theme="minorHAnsi" w:hAnsiTheme="minorHAnsi" w:eastAsiaTheme="minorEastAsia" w:cstheme="minorBidi"/>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w:t>
      </w:r>
      <w:r>
        <w:rPr>
          <w:rFonts w:hint="eastAsia" w:asciiTheme="minorHAnsi" w:hAnsiTheme="minorHAnsi" w:eastAsiaTheme="minorEastAsia" w:cstheme="minorBidi"/>
          <w:color w:val="auto"/>
          <w:kern w:val="0"/>
          <w:sz w:val="24"/>
          <w:szCs w:val="24"/>
          <w:highlight w:val="none"/>
          <w:lang w:val="en-US" w:eastAsia="zh-CN" w:bidi="ar"/>
        </w:rPr>
        <w:t>80~89分：扣 5% 服务费</w:t>
      </w:r>
    </w:p>
    <w:p w14:paraId="2835C9DA">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Theme="minorHAnsi" w:hAnsiTheme="minorHAnsi" w:eastAsiaTheme="minorEastAsia" w:cstheme="minorBidi"/>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w:t>
      </w:r>
      <w:r>
        <w:rPr>
          <w:rFonts w:hint="eastAsia" w:asciiTheme="minorHAnsi" w:hAnsiTheme="minorHAnsi" w:eastAsiaTheme="minorEastAsia" w:cstheme="minorBidi"/>
          <w:color w:val="auto"/>
          <w:kern w:val="0"/>
          <w:sz w:val="24"/>
          <w:szCs w:val="24"/>
          <w:highlight w:val="none"/>
          <w:lang w:val="en-US" w:eastAsia="zh-CN" w:bidi="ar"/>
        </w:rPr>
        <w:t>70~79分：扣 10% 服务费</w:t>
      </w:r>
    </w:p>
    <w:p w14:paraId="2BE9F14A">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Theme="minorHAnsi" w:hAnsiTheme="minorHAnsi" w:eastAsiaTheme="minorEastAsia" w:cstheme="minorBidi"/>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bidi="ar"/>
        </w:rPr>
        <w:t xml:space="preserve">● </w:t>
      </w:r>
      <w:r>
        <w:rPr>
          <w:rFonts w:hint="eastAsia" w:asciiTheme="minorHAnsi" w:hAnsiTheme="minorHAnsi" w:eastAsiaTheme="minorEastAsia" w:cstheme="minorBidi"/>
          <w:color w:val="auto"/>
          <w:kern w:val="0"/>
          <w:sz w:val="24"/>
          <w:szCs w:val="24"/>
          <w:highlight w:val="none"/>
          <w:lang w:val="en-US" w:eastAsia="zh-CN" w:bidi="ar"/>
        </w:rPr>
        <w:t>＜</w:t>
      </w:r>
      <w:r>
        <w:rPr>
          <w:rFonts w:hint="eastAsia" w:asciiTheme="minorHAnsi" w:hAnsiTheme="minorHAnsi" w:eastAsiaTheme="minorEastAsia" w:cstheme="minorBidi"/>
          <w:color w:val="auto"/>
          <w:kern w:val="0"/>
          <w:sz w:val="24"/>
          <w:szCs w:val="24"/>
          <w:highlight w:val="none"/>
          <w:lang w:val="en-US" w:eastAsia="zh-CN" w:bidi="ar"/>
        </w:rPr>
        <w:t>70 分：扣20% 服务费+整改通知（如连续2个季度考核分值均低于70分，则甲方可终止服务合同）</w:t>
      </w:r>
    </w:p>
    <w:p w14:paraId="0AABB63A">
      <w:pPr>
        <w:pStyle w:val="2"/>
        <w:rPr>
          <w:rFonts w:hint="eastAsia"/>
          <w:lang w:val="en-US" w:eastAsia="zh-CN"/>
        </w:rPr>
      </w:pPr>
    </w:p>
    <w:p w14:paraId="2F251016">
      <w:pPr>
        <w:keepNext w:val="0"/>
        <w:keepLines w:val="0"/>
        <w:pageBreakBefore w:val="0"/>
        <w:widowControl w:val="0"/>
        <w:kinsoku/>
        <w:wordWrap/>
        <w:overflowPunct/>
        <w:topLinePunct w:val="0"/>
        <w:autoSpaceDE/>
        <w:autoSpaceDN/>
        <w:bidi w:val="0"/>
        <w:adjustRightInd/>
        <w:spacing w:line="400" w:lineRule="exact"/>
        <w:ind w:firstLine="480" w:firstLineChars="200"/>
        <w:textAlignment w:val="auto"/>
        <w:rPr>
          <w:rFonts w:hint="eastAsia" w:asciiTheme="minorHAnsi" w:hAnsiTheme="minorHAnsi" w:eastAsiaTheme="minorEastAsia" w:cstheme="minorBidi"/>
          <w:color w:val="auto"/>
          <w:kern w:val="0"/>
          <w:sz w:val="24"/>
          <w:szCs w:val="24"/>
          <w:highlight w:val="none"/>
          <w:lang w:val="en-US" w:eastAsia="zh-CN" w:bidi="ar"/>
        </w:rPr>
      </w:pPr>
      <w:r>
        <w:rPr>
          <w:rFonts w:hint="eastAsia" w:asciiTheme="minorHAnsi" w:hAnsiTheme="minorHAnsi" w:eastAsiaTheme="minorEastAsia" w:cstheme="minorBidi"/>
          <w:color w:val="auto"/>
          <w:kern w:val="0"/>
          <w:sz w:val="24"/>
          <w:szCs w:val="24"/>
          <w:highlight w:val="none"/>
          <w:lang w:val="en-US" w:eastAsia="zh-CN" w:bidi="ar"/>
        </w:rPr>
        <w:t>注：采购人在合同期内有权结合实际需求及相关法规规范的变更，更新、调整考核评价项目、内容及分值。</w:t>
      </w:r>
    </w:p>
    <w:p w14:paraId="70BC82CF">
      <w:pPr>
        <w:pStyle w:val="2"/>
        <w:rPr>
          <w:rFonts w:hint="default"/>
          <w:lang w:val="en-US" w:eastAsia="zh-CN"/>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B53FBB2-C39D-4E37-988D-0624D4A9238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2B082C3B-C588-45BB-BEAE-AFB177133868}"/>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3" w:fontKey="{4021D101-8833-4AE8-AC06-8C50B9533704}"/>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21AA">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4364BD"/>
    <w:rsid w:val="075D1E8C"/>
    <w:rsid w:val="0C831895"/>
    <w:rsid w:val="0D4234FE"/>
    <w:rsid w:val="0EAD100E"/>
    <w:rsid w:val="0ECD225B"/>
    <w:rsid w:val="13B54A2A"/>
    <w:rsid w:val="14CC12C4"/>
    <w:rsid w:val="17875A15"/>
    <w:rsid w:val="18371EB1"/>
    <w:rsid w:val="19ED1940"/>
    <w:rsid w:val="1B096E5A"/>
    <w:rsid w:val="20DB1848"/>
    <w:rsid w:val="22BC150E"/>
    <w:rsid w:val="23377209"/>
    <w:rsid w:val="28597DF9"/>
    <w:rsid w:val="2A471FEB"/>
    <w:rsid w:val="31794E91"/>
    <w:rsid w:val="33084527"/>
    <w:rsid w:val="340A6274"/>
    <w:rsid w:val="35B929BB"/>
    <w:rsid w:val="36392E40"/>
    <w:rsid w:val="38C56C0D"/>
    <w:rsid w:val="395B7F03"/>
    <w:rsid w:val="395D23A4"/>
    <w:rsid w:val="3FC945CA"/>
    <w:rsid w:val="421A00E8"/>
    <w:rsid w:val="46F970CC"/>
    <w:rsid w:val="4968026A"/>
    <w:rsid w:val="4CC7027B"/>
    <w:rsid w:val="510026A9"/>
    <w:rsid w:val="51951749"/>
    <w:rsid w:val="53ED5526"/>
    <w:rsid w:val="55471060"/>
    <w:rsid w:val="55B61960"/>
    <w:rsid w:val="55D16D7C"/>
    <w:rsid w:val="5771095A"/>
    <w:rsid w:val="66A852F5"/>
    <w:rsid w:val="66F66060"/>
    <w:rsid w:val="68701E42"/>
    <w:rsid w:val="6B297183"/>
    <w:rsid w:val="6BB97277"/>
    <w:rsid w:val="6F2A0C05"/>
    <w:rsid w:val="70661AF5"/>
    <w:rsid w:val="7706409E"/>
    <w:rsid w:val="78320EC2"/>
    <w:rsid w:val="78381BD3"/>
    <w:rsid w:val="79A20C2B"/>
    <w:rsid w:val="79CB70E8"/>
    <w:rsid w:val="7C3944B7"/>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left"/>
    </w:pPr>
    <w:rPr>
      <w:rFonts w:ascii="Arial" w:hAnsi="Arial" w:eastAsia="黑体" w:cs="黑体"/>
      <w:b/>
      <w:sz w:val="32"/>
      <w:szCs w:val="22"/>
    </w:rPr>
  </w:style>
  <w:style w:type="paragraph" w:styleId="3">
    <w:name w:val="Normal Indent"/>
    <w:basedOn w:val="1"/>
    <w:qFormat/>
    <w:uiPriority w:val="0"/>
    <w:pPr>
      <w:ind w:firstLine="420" w:firstLineChars="200"/>
    </w:pPr>
    <w:rPr>
      <w:kern w:val="0"/>
      <w:sz w:val="24"/>
      <w:szCs w:val="20"/>
    </w:rPr>
  </w:style>
  <w:style w:type="paragraph" w:styleId="4">
    <w:name w:val="annotation text"/>
    <w:basedOn w:val="1"/>
    <w:qFormat/>
    <w:uiPriority w:val="0"/>
    <w:pPr>
      <w:jc w:val="left"/>
    </w:pPr>
  </w:style>
  <w:style w:type="paragraph" w:styleId="5">
    <w:name w:val="Body Text Indent"/>
    <w:basedOn w:val="1"/>
    <w:next w:val="6"/>
    <w:unhideWhenUsed/>
    <w:qFormat/>
    <w:uiPriority w:val="99"/>
    <w:pPr>
      <w:spacing w:after="120"/>
      <w:ind w:left="420" w:leftChars="200"/>
    </w:pPr>
  </w:style>
  <w:style w:type="paragraph" w:styleId="6">
    <w:name w:val="envelope return"/>
    <w:basedOn w:val="1"/>
    <w:qFormat/>
    <w:uiPriority w:val="0"/>
    <w:pPr>
      <w:adjustRightInd/>
    </w:pPr>
    <w:rPr>
      <w:rFonts w:ascii="Arial" w:hAnsi="Arial" w:cs="Times New Roman"/>
      <w:sz w:val="21"/>
    </w:rPr>
  </w:style>
  <w:style w:type="paragraph" w:styleId="7">
    <w:name w:val="index 4"/>
    <w:basedOn w:val="1"/>
    <w:next w:val="1"/>
    <w:semiHidden/>
    <w:qFormat/>
    <w:uiPriority w:val="0"/>
    <w:pPr>
      <w:ind w:left="1260"/>
    </w:pPr>
  </w:style>
  <w:style w:type="paragraph" w:styleId="8">
    <w:name w:val="Body Text Indent 2"/>
    <w:basedOn w:val="1"/>
    <w:qFormat/>
    <w:uiPriority w:val="0"/>
    <w:pPr>
      <w:spacing w:after="120" w:line="480" w:lineRule="auto"/>
      <w:ind w:left="420" w:leftChars="200"/>
    </w:pPr>
    <w:rPr>
      <w:rFonts w:ascii="宋体"/>
      <w:sz w:val="32"/>
      <w:szCs w:val="22"/>
    </w:rPr>
  </w:style>
  <w:style w:type="paragraph" w:styleId="9">
    <w:name w:val="footer"/>
    <w:basedOn w:val="1"/>
    <w:qFormat/>
    <w:uiPriority w:val="0"/>
    <w:pPr>
      <w:tabs>
        <w:tab w:val="center" w:pos="4153"/>
        <w:tab w:val="right" w:pos="8306"/>
      </w:tabs>
      <w:snapToGrid w:val="0"/>
      <w:jc w:val="left"/>
    </w:pPr>
    <w:rPr>
      <w:sz w:val="18"/>
      <w:lang w:bidi="he-IL"/>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next w:val="2"/>
    <w:qFormat/>
    <w:uiPriority w:val="0"/>
    <w:pPr>
      <w:spacing w:after="120" w:line="480" w:lineRule="auto"/>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Title"/>
    <w:basedOn w:val="1"/>
    <w:next w:val="1"/>
    <w:link w:val="20"/>
    <w:qFormat/>
    <w:uiPriority w:val="0"/>
    <w:pPr>
      <w:spacing w:before="240" w:after="60"/>
      <w:outlineLvl w:val="0"/>
    </w:pPr>
    <w:rPr>
      <w:rFonts w:ascii="Cambria" w:hAnsi="Cambria"/>
      <w:b/>
      <w:bCs/>
      <w:sz w:val="32"/>
      <w:szCs w:val="32"/>
    </w:rPr>
  </w:style>
  <w:style w:type="paragraph" w:styleId="14">
    <w:name w:val="Body Text First Indent 2"/>
    <w:basedOn w:val="5"/>
    <w:unhideWhenUsed/>
    <w:qFormat/>
    <w:uiPriority w:val="0"/>
    <w:pPr>
      <w:ind w:firstLine="42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List Paragraph"/>
    <w:basedOn w:val="1"/>
    <w:qFormat/>
    <w:uiPriority w:val="0"/>
    <w:pPr>
      <w:ind w:firstLine="420" w:firstLineChars="200"/>
    </w:pPr>
  </w:style>
  <w:style w:type="character" w:customStyle="1" w:styleId="20">
    <w:name w:val="标题 Char"/>
    <w:link w:val="13"/>
    <w:qFormat/>
    <w:uiPriority w:val="0"/>
    <w:rPr>
      <w:rFonts w:ascii="Cambria" w:hAnsi="Cambria"/>
      <w:b/>
      <w:bCs/>
      <w:sz w:val="32"/>
      <w:szCs w:val="32"/>
    </w:rPr>
  </w:style>
  <w:style w:type="character" w:customStyle="1" w:styleId="21">
    <w:name w:val="font01"/>
    <w:basedOn w:val="17"/>
    <w:qFormat/>
    <w:uiPriority w:val="0"/>
    <w:rPr>
      <w:rFonts w:hint="eastAsia" w:ascii="宋体" w:hAnsi="宋体" w:eastAsia="宋体" w:cs="宋体"/>
      <w:color w:val="000000"/>
      <w:sz w:val="20"/>
      <w:szCs w:val="20"/>
      <w:u w:val="none"/>
    </w:rPr>
  </w:style>
  <w:style w:type="character" w:customStyle="1" w:styleId="22">
    <w:name w:val="font21"/>
    <w:basedOn w:val="17"/>
    <w:qFormat/>
    <w:uiPriority w:val="0"/>
    <w:rPr>
      <w:rFonts w:ascii="Arial" w:hAnsi="Arial" w:cs="Arial"/>
      <w:color w:val="000000"/>
      <w:sz w:val="20"/>
      <w:szCs w:val="20"/>
      <w:u w:val="none"/>
    </w:rPr>
  </w:style>
  <w:style w:type="character" w:customStyle="1" w:styleId="23">
    <w:name w:val="font11"/>
    <w:basedOn w:val="17"/>
    <w:qFormat/>
    <w:uiPriority w:val="0"/>
    <w:rPr>
      <w:rFonts w:hint="eastAsia" w:ascii="宋体" w:hAnsi="宋体" w:eastAsia="宋体" w:cs="宋体"/>
      <w:color w:val="000000"/>
      <w:sz w:val="18"/>
      <w:szCs w:val="18"/>
      <w:u w:val="none"/>
    </w:rPr>
  </w:style>
  <w:style w:type="character" w:customStyle="1" w:styleId="24">
    <w:name w:val="font31"/>
    <w:basedOn w:val="17"/>
    <w:qFormat/>
    <w:uiPriority w:val="0"/>
    <w:rPr>
      <w:rFonts w:hint="default" w:ascii="Arial" w:hAnsi="Arial" w:cs="Arial"/>
      <w:color w:val="000000"/>
      <w:sz w:val="18"/>
      <w:szCs w:val="18"/>
      <w:u w:val="none"/>
    </w:rPr>
  </w:style>
  <w:style w:type="paragraph" w:customStyle="1" w:styleId="2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6">
    <w:name w:val="Table Text"/>
    <w:basedOn w:val="1"/>
    <w:semiHidden/>
    <w:qFormat/>
    <w:uiPriority w:val="0"/>
    <w:rPr>
      <w:rFonts w:ascii="宋体" w:hAnsi="宋体" w:eastAsia="宋体" w:cs="宋体"/>
      <w:sz w:val="28"/>
      <w:szCs w:val="28"/>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缺省文本"/>
    <w:basedOn w:val="1"/>
    <w:qFormat/>
    <w:uiPriority w:val="0"/>
    <w:pPr>
      <w:autoSpaceDE w:val="0"/>
      <w:autoSpaceDN w:val="0"/>
      <w:adjustRightInd w:val="0"/>
      <w:jc w:val="left"/>
    </w:pPr>
    <w:rPr>
      <w:kern w:val="0"/>
      <w:sz w:val="24"/>
      <w:szCs w:val="20"/>
    </w:rPr>
  </w:style>
  <w:style w:type="paragraph" w:customStyle="1" w:styleId="29">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宋体"/>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2406</Words>
  <Characters>2518</Characters>
  <Lines>0</Lines>
  <Paragraphs>0</Paragraphs>
  <TotalTime>8</TotalTime>
  <ScaleCrop>false</ScaleCrop>
  <LinksUpToDate>false</LinksUpToDate>
  <CharactersWithSpaces>2534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2024-12-18T06:48:00Z</dcterms:created>
  <dc:creator>Administrator.DESKTOP-IICAK8A</dc:creator>
  <cp:lastModifiedBy>能能</cp:lastModifiedBy>
  <dcterms:modified xsi:type="dcterms:W3CDTF">2026-09-15T07:14:30Z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68256FD196C845FA99C1FFB0258BD82B_13</vt:lpwstr>
  </property>
  <property fmtid="{D5CDD505-2E9C-101B-9397-08002B2CF9AE}" pid="4" name="KSOTemplateDocerSaveRecord">
    <vt:lpwstr>eyJoZGlkIjoiMTU1MGI0MTgwMTU0MzQ0NjdlZGQyYmM0MTBjZjEwZjYiLCJ1c2VySWQiOiI1NTUzMTQ2MDYifQ==</vt:lpwstr>
  </property>
</Properties>
</file>