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4ED09">
      <w:pPr>
        <w:keepNext/>
        <w:keepLines/>
        <w:pageBreakBefore w:val="0"/>
        <w:widowControl w:val="0"/>
        <w:kinsoku/>
        <w:wordWrap/>
        <w:overflowPunct/>
        <w:topLinePunct w:val="0"/>
        <w:autoSpaceDE/>
        <w:autoSpaceDN/>
        <w:bidi w:val="0"/>
        <w:adjustRightInd/>
        <w:spacing w:line="460" w:lineRule="exact"/>
        <w:jc w:val="center"/>
        <w:outlineLvl w:val="0"/>
        <w:rPr>
          <w:rFonts w:hint="eastAsia" w:ascii="Times New Roman" w:hAnsi="Times New Roman" w:eastAsia="仿宋_GB2312" w:cs="Times New Roman"/>
          <w:b/>
          <w:bCs/>
          <w:kern w:val="2"/>
          <w:sz w:val="24"/>
          <w:szCs w:val="24"/>
          <w:lang w:val="en-US" w:eastAsia="zh-CN" w:bidi="ar-SA"/>
        </w:rPr>
      </w:pPr>
      <w:r>
        <w:rPr>
          <w:rFonts w:hint="eastAsia" w:ascii="仿宋_GB2312" w:hAnsi="仿宋_GB2312" w:eastAsia="仿宋_GB2312" w:cs="仿宋_GB2312"/>
          <w:b/>
          <w:bCs/>
          <w:color w:val="auto"/>
          <w:kern w:val="2"/>
          <w:sz w:val="28"/>
          <w:szCs w:val="28"/>
          <w:highlight w:val="yellow"/>
          <w:lang w:val="en-US" w:eastAsia="zh-CN" w:bidi="ar-SA"/>
        </w:rPr>
        <w:t>（本次公示的采购需求为初步需求，具体以采购文件为准）</w:t>
      </w:r>
    </w:p>
    <w:p w14:paraId="6DAC0A41">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321" w:firstLineChars="100"/>
        <w:jc w:val="center"/>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马鞍山市中医院核心业务数据容灾备份建设</w:t>
      </w:r>
      <w:bookmarkStart w:id="0" w:name="_GoBack"/>
      <w:bookmarkEnd w:id="0"/>
      <w:r>
        <w:rPr>
          <w:rFonts w:hint="eastAsia" w:asciiTheme="minorEastAsia" w:hAnsiTheme="minorEastAsia" w:eastAsiaTheme="minorEastAsia" w:cstheme="minorEastAsia"/>
          <w:b/>
          <w:bCs/>
          <w:sz w:val="32"/>
          <w:szCs w:val="32"/>
          <w:lang w:val="en-US" w:eastAsia="zh-CN"/>
        </w:rPr>
        <w:t>服务内容及总体要求</w:t>
      </w:r>
    </w:p>
    <w:p w14:paraId="5C1F485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321" w:firstLineChars="100"/>
        <w:jc w:val="center"/>
        <w:textAlignment w:val="auto"/>
        <w:rPr>
          <w:rFonts w:hint="eastAsia" w:asciiTheme="minorEastAsia" w:hAnsiTheme="minorEastAsia" w:eastAsiaTheme="minorEastAsia" w:cstheme="minorEastAsia"/>
          <w:b/>
          <w:bCs/>
          <w:sz w:val="32"/>
          <w:szCs w:val="32"/>
          <w:lang w:val="en-US" w:eastAsia="zh-CN"/>
        </w:rPr>
      </w:pPr>
    </w:p>
    <w:p w14:paraId="40467D0B">
      <w:pPr>
        <w:keepNext w:val="0"/>
        <w:keepLines w:val="0"/>
        <w:pageBreakBefore w:val="0"/>
        <w:widowControl/>
        <w:kinsoku/>
        <w:wordWrap/>
        <w:overflowPunct/>
        <w:topLinePunct w:val="0"/>
        <w:autoSpaceDE/>
        <w:autoSpaceDN/>
        <w:bidi w:val="0"/>
        <w:adjustRightInd/>
        <w:snapToGrid/>
        <w:spacing w:line="480" w:lineRule="exact"/>
        <w:ind w:left="0" w:leftChars="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一、采购预算</w:t>
      </w:r>
    </w:p>
    <w:p w14:paraId="626F20E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0" w:firstLineChars="1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项目预算（人民币）：15万元；</w:t>
      </w:r>
    </w:p>
    <w:p w14:paraId="57A2331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0" w:firstLineChars="1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最高限价（人民币）：15万元。</w:t>
      </w:r>
    </w:p>
    <w:p w14:paraId="2C8961B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kern w:val="2"/>
          <w:sz w:val="24"/>
          <w:szCs w:val="24"/>
          <w:lang w:val="en-US" w:eastAsia="zh-CN" w:bidi="ar-SA"/>
        </w:rPr>
        <w:t>二、</w:t>
      </w:r>
      <w:r>
        <w:rPr>
          <w:rFonts w:hint="eastAsia" w:asciiTheme="minorEastAsia" w:hAnsiTheme="minorEastAsia" w:eastAsiaTheme="minorEastAsia" w:cstheme="minorEastAsia"/>
          <w:b/>
          <w:bCs/>
          <w:sz w:val="24"/>
          <w:szCs w:val="24"/>
          <w:lang w:val="en-US" w:eastAsia="zh-CN"/>
        </w:rPr>
        <w:t>采购内容及相关要求</w:t>
      </w:r>
    </w:p>
    <w:p w14:paraId="1BAF3633">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1" w:firstLineChars="10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（一）采购清单</w:t>
      </w:r>
    </w:p>
    <w:tbl>
      <w:tblPr>
        <w:tblStyle w:val="1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5781"/>
        <w:gridCol w:w="845"/>
        <w:gridCol w:w="1048"/>
      </w:tblGrid>
      <w:tr w14:paraId="1666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ign w:val="center"/>
          </w:tcPr>
          <w:p w14:paraId="57A2521C">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序号</w:t>
            </w:r>
          </w:p>
        </w:tc>
        <w:tc>
          <w:tcPr>
            <w:tcW w:w="0" w:type="auto"/>
            <w:noWrap/>
            <w:vAlign w:val="center"/>
          </w:tcPr>
          <w:p w14:paraId="5FC817B4">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服务名称（标的名称）</w:t>
            </w:r>
          </w:p>
        </w:tc>
        <w:tc>
          <w:tcPr>
            <w:tcW w:w="0" w:type="auto"/>
            <w:noWrap w:val="0"/>
            <w:vAlign w:val="center"/>
          </w:tcPr>
          <w:p w14:paraId="6FCCD106">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数量</w:t>
            </w:r>
          </w:p>
        </w:tc>
        <w:tc>
          <w:tcPr>
            <w:tcW w:w="1048" w:type="dxa"/>
            <w:noWrap/>
            <w:vAlign w:val="center"/>
          </w:tcPr>
          <w:p w14:paraId="55361814">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单位</w:t>
            </w:r>
          </w:p>
        </w:tc>
      </w:tr>
      <w:tr w14:paraId="56C6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noWrap/>
            <w:vAlign w:val="center"/>
          </w:tcPr>
          <w:p w14:paraId="6A1911ED">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宋体" w:hAnsi="宋体" w:eastAsia="宋体" w:cs="宋体"/>
                <w:color w:val="auto"/>
                <w:sz w:val="24"/>
                <w:szCs w:val="24"/>
                <w:highlight w:val="none"/>
                <w:lang w:val="en-US" w:eastAsia="zh-CN"/>
              </w:rPr>
              <w:t>1</w:t>
            </w:r>
          </w:p>
        </w:tc>
        <w:tc>
          <w:tcPr>
            <w:tcW w:w="0" w:type="auto"/>
            <w:shd w:val="clear" w:color="auto" w:fill="FFFFFF"/>
            <w:noWrap/>
            <w:vAlign w:val="center"/>
          </w:tcPr>
          <w:p w14:paraId="0116CB38">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eastAsia="黑体" w:asciiTheme="minorEastAsia" w:hAnsiTheme="minorEastAsia" w:cstheme="minorEastAsia"/>
                <w:b/>
                <w:bCs w:val="0"/>
                <w:i w:val="0"/>
                <w:sz w:val="24"/>
                <w:szCs w:val="24"/>
                <w:lang w:val="en-US" w:eastAsia="zh-CN"/>
              </w:rPr>
            </w:pPr>
            <w:r>
              <w:rPr>
                <w:rFonts w:hint="eastAsia" w:ascii="宋体" w:hAnsi="宋体" w:eastAsia="宋体" w:cs="宋体"/>
                <w:color w:val="auto"/>
                <w:sz w:val="24"/>
                <w:szCs w:val="24"/>
                <w:highlight w:val="none"/>
                <w:lang w:val="en-US" w:eastAsia="zh-CN"/>
              </w:rPr>
              <w:t>马鞍山市中医院</w:t>
            </w:r>
            <w:r>
              <w:rPr>
                <w:rFonts w:hint="eastAsia" w:ascii="宋体" w:hAnsi="宋体" w:cs="宋体"/>
                <w:color w:val="auto"/>
                <w:sz w:val="24"/>
                <w:szCs w:val="24"/>
                <w:highlight w:val="none"/>
                <w:lang w:val="en-US" w:eastAsia="zh-CN"/>
              </w:rPr>
              <w:t>核心业务数据容灾备份建设</w:t>
            </w:r>
          </w:p>
        </w:tc>
        <w:tc>
          <w:tcPr>
            <w:tcW w:w="0" w:type="auto"/>
            <w:shd w:val="clear" w:color="auto" w:fill="FFFFFF"/>
            <w:noWrap w:val="0"/>
            <w:vAlign w:val="center"/>
          </w:tcPr>
          <w:p w14:paraId="6446343C">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宋体" w:hAnsi="宋体" w:eastAsia="宋体" w:cs="宋体"/>
                <w:color w:val="auto"/>
                <w:sz w:val="24"/>
                <w:szCs w:val="24"/>
                <w:highlight w:val="none"/>
                <w:lang w:val="en-US" w:eastAsia="zh-CN"/>
              </w:rPr>
              <w:t>1</w:t>
            </w:r>
          </w:p>
        </w:tc>
        <w:tc>
          <w:tcPr>
            <w:tcW w:w="1048" w:type="dxa"/>
            <w:shd w:val="clear" w:color="auto" w:fill="FFFFFF"/>
            <w:noWrap/>
            <w:vAlign w:val="center"/>
          </w:tcPr>
          <w:p w14:paraId="467FDFAC">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宋体" w:hAnsi="宋体" w:eastAsia="宋体" w:cs="宋体"/>
                <w:color w:val="auto"/>
                <w:sz w:val="24"/>
                <w:szCs w:val="24"/>
                <w:highlight w:val="none"/>
                <w:lang w:val="en-US" w:eastAsia="zh-CN"/>
              </w:rPr>
              <w:t>项</w:t>
            </w:r>
          </w:p>
        </w:tc>
      </w:tr>
    </w:tbl>
    <w:p w14:paraId="07DB8EC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textAlignment w:val="auto"/>
        <w:rPr>
          <w:rFonts w:hint="eastAsia" w:asciiTheme="minorEastAsia" w:hAnsiTheme="minorEastAsia" w:eastAsiaTheme="minorEastAsia" w:cstheme="minorEastAsia"/>
          <w:b/>
          <w:bCs/>
          <w:sz w:val="24"/>
          <w:szCs w:val="24"/>
          <w:lang w:val="en-US" w:eastAsia="zh-CN"/>
        </w:rPr>
      </w:pPr>
    </w:p>
    <w:p w14:paraId="1568F006">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1" w:firstLineChars="10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（二）技术参数（服务内容）</w:t>
      </w:r>
    </w:p>
    <w:p w14:paraId="6D5EB42F">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1、项目背景简介</w:t>
      </w:r>
    </w:p>
    <w:p w14:paraId="436E4234">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本项目旨在对医院现有的重要服务器进行数据保护，以确保数据安全，保障业务连续性。</w:t>
      </w:r>
    </w:p>
    <w:p w14:paraId="49F38B26">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项目重点在于满足等保2.0三级的合规与审计要求，满足五级电子病历评级要求中对于核心数据库RTO和RPO参数要求。满足医疗行业信息化系统相关规范。</w:t>
      </w:r>
    </w:p>
    <w:p w14:paraId="3319D514">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p w14:paraId="222EB999">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2、项目采购需求</w:t>
      </w:r>
    </w:p>
    <w:p w14:paraId="122B9285">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系统采用国产化 Linux 64位操作系统软件底座，采用B/S管理架构，无需安装辅助程序，可远程安全访问管理平台。国产自主知识产权，非OEM或转售产品，自主研发，投标产品必须具有国家版权局颁发的软件著作权证书，支持中文简体、中文繁体、英文管理界面。</w:t>
      </w:r>
    </w:p>
    <w:p w14:paraId="2C0C2C24">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客户端支持主流国产芯片（飞腾、鲲鹏、海光等）以及主流信创操作系统（Kylin、UOS、openEuler、Anolis等）；客户端支持Windows、Linux等国内外主流操作系统，平台支持X86/X64、C86、ARM64架构的客户端。</w:t>
      </w:r>
    </w:p>
    <w:p w14:paraId="750F43C0">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配置CDP持续数据保护、定时备份、资源管理、客户端分发、远程复制、定时自动演练及输出演练报告等功能，实现CDP实时数据保护、数据备份和恢复、数据存储、数据验证、数据接管、数据综合分析、搜索和查询等功能，所有操作均在同一WEB界面进行管理。</w:t>
      </w:r>
    </w:p>
    <w:p w14:paraId="67CF8CF9">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提供20TB持续数据容量保护CDP实时备份功能永久授权。采用同步或异步复制方式实现不间断监控，支持恢复到任意时间点且恢复点目标（</w:t>
      </w:r>
      <w:r>
        <w:rPr>
          <w:rFonts w:hint="default" w:asciiTheme="minorEastAsia" w:hAnsiTheme="minorEastAsia" w:eastAsiaTheme="minorEastAsia" w:cstheme="minorEastAsia"/>
          <w:sz w:val="24"/>
          <w:szCs w:val="24"/>
          <w:lang w:val="en-US" w:eastAsia="zh-CN"/>
        </w:rPr>
        <w:t>RPO）趋近于零</w:t>
      </w:r>
      <w:r>
        <w:rPr>
          <w:rFonts w:hint="eastAsia" w:asciiTheme="minorEastAsia" w:hAnsiTheme="minorEastAsia" w:eastAsiaTheme="minorEastAsia" w:cstheme="minorEastAsia"/>
          <w:sz w:val="24"/>
          <w:szCs w:val="24"/>
          <w:lang w:val="en-US" w:eastAsia="zh-CN"/>
        </w:rPr>
        <w:t>。客户端数量限制不少于100个，系统接管许可不少于20个，接管许可不绑定特定业务系统可灵活进行配置。</w:t>
      </w:r>
    </w:p>
    <w:p w14:paraId="501DCC7D">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val="en-US" w:eastAsia="zh-CN"/>
        </w:rPr>
        <w:t>面向物理机/虚拟机/云主机等容灾对象，产品提供有代理实时备份，实现整机一体化数据持续保护，即备份对象的操作系统、应用程序及配置、业务数据等以“整机”为单位进行实时备份、无需单独备份（如卷分区、用户权限、文件属性、文件MD5等配置及数据完全一致）；</w:t>
      </w:r>
    </w:p>
    <w:p w14:paraId="04AF1025">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val="en-US" w:eastAsia="zh-CN"/>
        </w:rPr>
        <w:t>支持应急接管虚拟机在线回迁，对于应急接管业务后产生的数据变化，以“热迁移”方式同步至原备份对象，迁移过程无需中断业务；生成的整机镜像系统默认预设在线回迁配置，无需对镜像系统进行任何额外操作即可进行热迁移。应急接管容灾时，可同时配置将容灾主机整机回迁至原生产环境的相关参数，应急容灾期间整机包含新增数据的无缝回迁至生产环境主机，应急容灾结束后择机可秒级回切至生产环境。</w:t>
      </w:r>
    </w:p>
    <w:p w14:paraId="037EBCFB">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val="en-US" w:eastAsia="zh-CN"/>
        </w:rPr>
        <w:t>支持永久增量备份模式，在首次完全备份后，后续备份均为增量级别，每个增量备份时间点均为一份完整的生产数据副本，当删除任意中间备份时间点而不影响后续恢复。</w:t>
      </w:r>
    </w:p>
    <w:p w14:paraId="3A4C216F">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val="en-US" w:eastAsia="zh-CN"/>
        </w:rPr>
        <w:t>配置基于保护对象的限速功能，要求配置基于备份数据流的带宽及数据流控制功能，避免过大数据流下对网络带宽的过度使用，影响生产业务。</w:t>
      </w:r>
    </w:p>
    <w:p w14:paraId="0C6E687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val="en-US" w:eastAsia="zh-CN"/>
        </w:rPr>
        <w:t>要求配置全局一致性技术，对于同一业务的多台服务器，在任意时刻，保持数据捕获的一致性，任意的演练、接管、回退等动作均同步进行，以保证该业务系统的全局可控。</w:t>
      </w:r>
    </w:p>
    <w:p w14:paraId="3C59910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en-US" w:eastAsia="zh-CN"/>
        </w:rPr>
        <w:t>配置业务系统的一键接管功能，通过容灾业务系统的变量编排设置，根据业务系统的编排规划，一键完成业务系统接管，接管资源可以预先纳入编排规划，接管后的业务系统独占编排资源，保证业务系统的接管效率和接管能力。</w:t>
      </w:r>
    </w:p>
    <w:p w14:paraId="55CEEA0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lang w:val="en-US" w:eastAsia="zh-CN"/>
        </w:rPr>
        <w:t>提供原厂商三年软件质保服务，包含7*24小时远程支持，补丁更新及软件升级服务，厂商需在1小时内响应软件维护服务请求。如远程无法解决问题的，需及时安排24小时内现场到场进行问题处理。</w:t>
      </w:r>
    </w:p>
    <w:p w14:paraId="40CD1C5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p>
    <w:p w14:paraId="7E190D01">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3、维保期基本服务要求</w:t>
      </w:r>
    </w:p>
    <w:p w14:paraId="532EDA0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提供软件的安装配置、故障诊断、远程和现场排障服务, 维护期内对软件使用过程中产生的所有问题进行免费服务。</w:t>
      </w:r>
    </w:p>
    <w:p w14:paraId="60D73E86">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安排拥有专业资质的工作人员提供软件各项功能详细操作说明指导，在软件上线实施部署和升级过程中确保业务的连续性。</w:t>
      </w:r>
    </w:p>
    <w:p w14:paraId="30F556FD">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配合医院完成网络安全等级保护测评（二级、三级）、数据安全事件整改、网络安全事件整改、灾备应急演练、渗透漏扫等网络安全相关工作以及上级部门的网络和数据安全检查等工作。</w:t>
      </w:r>
    </w:p>
    <w:p w14:paraId="584CB601">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服务期内医院若需要对相关设备调整配置、调整存储配置、调整网络拓扑等操作，需免费派技术团队人员在现场进行服务和技术支持。</w:t>
      </w:r>
    </w:p>
    <w:p w14:paraId="664EE358">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val="en-US" w:eastAsia="zh-CN"/>
        </w:rPr>
        <w:t>突发系统故障时，需立即进行响应，并提供1小时内远程救援服务，远程连接后1小时内解决问题；必要时，联系原厂技术工程师现场配合指导处理。</w:t>
      </w:r>
    </w:p>
    <w:p w14:paraId="6E962C8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val="en-US" w:eastAsia="zh-CN"/>
        </w:rPr>
        <w:t>应急服务：突发信息系统安全应急事件或者严重数据安全告警事件时，需为院方及时提供现场或者远程技术支持，在维保期内提供不限次数与设备功能相关的数据安全技术咨询服务。</w:t>
      </w:r>
    </w:p>
    <w:p w14:paraId="053B61ED">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0" w:firstLineChars="100"/>
        <w:jc w:val="center"/>
        <w:textAlignment w:val="auto"/>
        <w:rPr>
          <w:rFonts w:hint="eastAsia" w:ascii="宋体" w:hAnsi="宋体" w:eastAsia="宋体" w:cs="宋体"/>
          <w:color w:val="auto"/>
          <w:kern w:val="2"/>
          <w:sz w:val="24"/>
          <w:szCs w:val="24"/>
          <w:highlight w:val="none"/>
          <w:lang w:val="en-US" w:eastAsia="zh-CN" w:bidi="ar-SA"/>
        </w:rPr>
      </w:pPr>
    </w:p>
    <w:p w14:paraId="0A9E71B6">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1" w:firstLineChars="10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（三）商务要求</w:t>
      </w:r>
    </w:p>
    <w:p w14:paraId="10032D58">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val="zh-CN" w:eastAsia="zh-CN"/>
        </w:rPr>
        <w:t>服务规范：有国家标准的执行国家标准；无国家标准的执行行业标准；无行业标准的执行地方标准；无地方标准的执行企业标准。</w:t>
      </w:r>
    </w:p>
    <w:p w14:paraId="0D612E33">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2、技术支持</w:t>
      </w:r>
    </w:p>
    <w:p w14:paraId="5A84BB98">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 成交供应商应向采购人提供全方位及时而有效的技术支持和服务。</w:t>
      </w:r>
    </w:p>
    <w:p w14:paraId="416D1275">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2.2 如成交供应商发生兼并、重组，采购人本项目的建设、维护等相关工作必须由新组建的公司按磋商文件及响应文件承担相应的义务。</w:t>
      </w:r>
    </w:p>
    <w:p w14:paraId="438BFB1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3、成交供应商需设有专门的服务队伍，建立完备的响应机制，负责解答采购人在使用中遇到的问题，及时提出解决问题的建议和操作方法。</w:t>
      </w:r>
    </w:p>
    <w:p w14:paraId="2DF086B2">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3.1 响应文件中为本项目配备的人员力量，在合同履行期间，成交供应商须按采购人要求到达本项目现场提供相应服务，否则采购人有权解除采购合同。</w:t>
      </w:r>
    </w:p>
    <w:p w14:paraId="4D29BFB4">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3.2、服务响应时间：成交供应商需设有专门的服务队伍，建立完备的响应机制。如出现服务问题，电话响应无法解决，成交供应商必须在接到电话 24 小时内到达现场并解决问题。</w:t>
      </w:r>
    </w:p>
    <w:p w14:paraId="3859938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val="en-US" w:eastAsia="zh-CN"/>
        </w:rPr>
        <w:t>、服务期限：成交供应商应在合同签订之日起15个工作日内完成项目的全部建设工作。包括前期软件上线实施条件的勘察调研，相关软件的安装、测试、正常接入网络运行业务，保证系统能够按照技术参数制定的需求进行运行和管理。</w:t>
      </w:r>
    </w:p>
    <w:p w14:paraId="290C9E71">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5、服务地点：马鞍山市中医院（采购人指定地点）。</w:t>
      </w:r>
    </w:p>
    <w:p w14:paraId="6445031D">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6、质保期限：自项目验收完成之日起三年。</w:t>
      </w:r>
    </w:p>
    <w:p w14:paraId="785BDCC9">
      <w:pPr>
        <w:keepNext w:val="0"/>
        <w:keepLines w:val="0"/>
        <w:pageBreakBefore w:val="0"/>
        <w:widowControl w:val="0"/>
        <w:numPr>
          <w:ilvl w:val="0"/>
          <w:numId w:val="0"/>
        </w:numPr>
        <w:kinsoku/>
        <w:wordWrap/>
        <w:overflowPunct/>
        <w:topLinePunct w:val="0"/>
        <w:autoSpaceDE/>
        <w:autoSpaceDN/>
        <w:bidi w:val="0"/>
        <w:adjustRightInd/>
        <w:spacing w:line="480" w:lineRule="exact"/>
        <w:ind w:left="0" w:leftChars="0" w:firstLine="482" w:firstLineChars="200"/>
        <w:jc w:val="left"/>
        <w:textAlignment w:val="auto"/>
        <w:outlineLvl w:val="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7、付款方式：</w:t>
      </w:r>
      <w:r>
        <w:rPr>
          <w:rFonts w:hint="eastAsia" w:ascii="宋体" w:hAnsi="宋体"/>
          <w:b/>
          <w:bCs/>
          <w:sz w:val="24"/>
          <w:szCs w:val="24"/>
          <w:highlight w:val="none"/>
          <w:lang w:val="en-US" w:eastAsia="zh-CN"/>
        </w:rPr>
        <w:t>自项目验收合格后30日内支付合同金额的90%；自项目验收合格，项目服务期满三年后支付合同金额的10%</w:t>
      </w:r>
    </w:p>
    <w:p w14:paraId="60E9345F">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val="zh-CN" w:eastAsia="zh-CN"/>
        </w:rPr>
        <w:t>成交供应商在项目实施过程中，国家对相关项目有资质要求的，进场单位和人员的资质、资格符合国家、省、市有关规定。实施期间成交供应商所发生的或成交供应商实施场地内发生的或成交供应商原因造成的安全事故，均应由成交供应商负责按有关规定处理善后事宜，并承担给采购人造成的损失。</w:t>
      </w:r>
    </w:p>
    <w:p w14:paraId="4836960A">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val="zh-CN" w:eastAsia="zh-CN"/>
        </w:rPr>
        <w:t>、如货物属于国家强制性目录范围内的，则必须符合国家相关强制性要求。</w:t>
      </w:r>
    </w:p>
    <w:p w14:paraId="29A2253A">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zh-CN" w:eastAsia="zh-CN"/>
        </w:rPr>
        <w:t>、验收：</w:t>
      </w:r>
    </w:p>
    <w:p w14:paraId="4FE3E0F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zh-CN" w:eastAsia="zh-CN"/>
        </w:rPr>
        <w:t>.1采购人和相关部门按照磋商文件和招标响应文件进行验收。磋商文件没有规定和招标响应文件没有相应承诺的，按照下列原则进行验收：有国家标准的按照国家标准验收，没有国家标准的按行业标准验收，无行业标准的按地方或企业标准验收，成交供应商予以配合。涉及需要由其他相关行业主管部门验收的项目，采购人须约请相关部门和专家参加项目验收。</w:t>
      </w:r>
    </w:p>
    <w:p w14:paraId="34E49E5B">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zh-CN" w:eastAsia="zh-CN"/>
        </w:rPr>
        <w:t>.2、采购人及相关行业主管部门对项目进行全面的验收，对验收中暴露出来的问题，成交供应商应及时进行整改，整改后仍达不到验收标准的，采购人有权取消成交供应商资格。</w:t>
      </w:r>
    </w:p>
    <w:p w14:paraId="651AF6EF">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lang w:val="zh-CN" w:eastAsia="zh-CN"/>
        </w:rPr>
        <w:t>本项目总</w:t>
      </w:r>
      <w:r>
        <w:rPr>
          <w:rFonts w:hint="eastAsia" w:asciiTheme="minorEastAsia" w:hAnsiTheme="minorEastAsia" w:eastAsiaTheme="minorEastAsia" w:cstheme="minorEastAsia"/>
          <w:sz w:val="24"/>
          <w:szCs w:val="24"/>
          <w:lang w:val="en-US" w:eastAsia="zh-CN"/>
        </w:rPr>
        <w:t>报</w:t>
      </w:r>
      <w:r>
        <w:rPr>
          <w:rFonts w:hint="eastAsia" w:asciiTheme="minorEastAsia" w:hAnsiTheme="minorEastAsia" w:eastAsiaTheme="minorEastAsia" w:cstheme="minorEastAsia"/>
          <w:sz w:val="24"/>
          <w:szCs w:val="24"/>
          <w:lang w:val="zh-CN" w:eastAsia="zh-CN"/>
        </w:rPr>
        <w:t>价包含了交付使用前的全部费用及所有价内价外税金及合理利润等，</w:t>
      </w:r>
      <w:r>
        <w:rPr>
          <w:rFonts w:hint="eastAsia" w:asciiTheme="minorEastAsia" w:hAnsiTheme="minorEastAsia" w:eastAsiaTheme="minorEastAsia" w:cstheme="minorEastAsia"/>
          <w:sz w:val="24"/>
          <w:szCs w:val="24"/>
          <w:lang w:val="en-US" w:eastAsia="zh-CN"/>
        </w:rPr>
        <w:t>不再产生任何二次费用。</w:t>
      </w:r>
    </w:p>
    <w:p w14:paraId="70BC82CF">
      <w:pPr>
        <w:pStyle w:val="2"/>
        <w:rPr>
          <w:rFonts w:hint="default"/>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B0D0B8-DBDB-4551-BFD4-EB624FD742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80AEB28C-FF33-41C9-AAEE-8BA926D6005F}"/>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7FFAEFF" w:usb1="F9DFFFFF" w:usb2="0000007F" w:usb3="00000000" w:csb0="203F01FF" w:csb1="DFFF0000"/>
  </w:font>
  <w:font w:name="新宋体">
    <w:panose1 w:val="02010609030101010101"/>
    <w:charset w:val="86"/>
    <w:family w:val="modern"/>
    <w:pitch w:val="default"/>
    <w:sig w:usb0="00000203" w:usb1="288F00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21AA">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364BD"/>
    <w:rsid w:val="075D1E8C"/>
    <w:rsid w:val="0C831895"/>
    <w:rsid w:val="0D4234FE"/>
    <w:rsid w:val="0EAD100E"/>
    <w:rsid w:val="0ECD225B"/>
    <w:rsid w:val="13B54A2A"/>
    <w:rsid w:val="14CC12C4"/>
    <w:rsid w:val="17875A15"/>
    <w:rsid w:val="18371EB1"/>
    <w:rsid w:val="19ED1940"/>
    <w:rsid w:val="1B096E5A"/>
    <w:rsid w:val="20DB1848"/>
    <w:rsid w:val="22BC150E"/>
    <w:rsid w:val="23377209"/>
    <w:rsid w:val="28597DF9"/>
    <w:rsid w:val="2A471FEB"/>
    <w:rsid w:val="2A6917DD"/>
    <w:rsid w:val="31794E91"/>
    <w:rsid w:val="33084527"/>
    <w:rsid w:val="340A6274"/>
    <w:rsid w:val="35B929BB"/>
    <w:rsid w:val="36392E40"/>
    <w:rsid w:val="38C56C0D"/>
    <w:rsid w:val="395B7F03"/>
    <w:rsid w:val="395D23A4"/>
    <w:rsid w:val="3FC945CA"/>
    <w:rsid w:val="421A00E8"/>
    <w:rsid w:val="46F970CC"/>
    <w:rsid w:val="4968026A"/>
    <w:rsid w:val="4CC7027B"/>
    <w:rsid w:val="510026A9"/>
    <w:rsid w:val="51951749"/>
    <w:rsid w:val="53ED5526"/>
    <w:rsid w:val="55471060"/>
    <w:rsid w:val="55B61960"/>
    <w:rsid w:val="55D16D7C"/>
    <w:rsid w:val="5771095A"/>
    <w:rsid w:val="66A852F5"/>
    <w:rsid w:val="66F66060"/>
    <w:rsid w:val="68701E42"/>
    <w:rsid w:val="6B297183"/>
    <w:rsid w:val="6BB97277"/>
    <w:rsid w:val="6F2A0C05"/>
    <w:rsid w:val="70661AF5"/>
    <w:rsid w:val="7706409E"/>
    <w:rsid w:val="78320EC2"/>
    <w:rsid w:val="78381BD3"/>
    <w:rsid w:val="79A20C2B"/>
    <w:rsid w:val="79CB70E8"/>
    <w:rsid w:val="7C3944B7"/>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left"/>
    </w:pPr>
    <w:rPr>
      <w:rFonts w:ascii="Arial" w:hAnsi="Arial" w:eastAsia="黑体" w:cs="黑体"/>
      <w:b/>
      <w:sz w:val="32"/>
      <w:szCs w:val="22"/>
    </w:rPr>
  </w:style>
  <w:style w:type="paragraph" w:styleId="3">
    <w:name w:val="Normal Indent"/>
    <w:basedOn w:val="1"/>
    <w:qFormat/>
    <w:uiPriority w:val="0"/>
    <w:pPr>
      <w:ind w:firstLine="420" w:firstLineChars="200"/>
    </w:pPr>
    <w:rPr>
      <w:kern w:val="0"/>
      <w:sz w:val="24"/>
      <w:szCs w:val="20"/>
    </w:rPr>
  </w:style>
  <w:style w:type="paragraph" w:styleId="4">
    <w:name w:val="annotation text"/>
    <w:basedOn w:val="1"/>
    <w:qFormat/>
    <w:uiPriority w:val="0"/>
    <w:pPr>
      <w:jc w:val="left"/>
    </w:pPr>
  </w:style>
  <w:style w:type="paragraph" w:styleId="5">
    <w:name w:val="Body Text Indent"/>
    <w:basedOn w:val="1"/>
    <w:next w:val="6"/>
    <w:unhideWhenUsed/>
    <w:qFormat/>
    <w:uiPriority w:val="99"/>
    <w:pPr>
      <w:spacing w:after="120"/>
      <w:ind w:left="420" w:leftChars="200"/>
    </w:pPr>
  </w:style>
  <w:style w:type="paragraph" w:styleId="6">
    <w:name w:val="envelope return"/>
    <w:basedOn w:val="1"/>
    <w:qFormat/>
    <w:uiPriority w:val="0"/>
    <w:pPr>
      <w:adjustRightInd/>
    </w:pPr>
    <w:rPr>
      <w:rFonts w:ascii="Arial" w:hAnsi="Arial" w:cs="Times New Roman"/>
      <w:sz w:val="21"/>
    </w:rPr>
  </w:style>
  <w:style w:type="paragraph" w:styleId="7">
    <w:name w:val="index 4"/>
    <w:basedOn w:val="1"/>
    <w:next w:val="1"/>
    <w:semiHidden/>
    <w:qFormat/>
    <w:uiPriority w:val="0"/>
    <w:pPr>
      <w:ind w:left="1260"/>
    </w:pPr>
  </w:style>
  <w:style w:type="paragraph" w:styleId="8">
    <w:name w:val="Body Text Indent 2"/>
    <w:basedOn w:val="1"/>
    <w:qFormat/>
    <w:uiPriority w:val="0"/>
    <w:pPr>
      <w:spacing w:after="120" w:line="480" w:lineRule="auto"/>
      <w:ind w:left="420" w:leftChars="200"/>
    </w:pPr>
    <w:rPr>
      <w:rFonts w:ascii="宋体"/>
      <w:sz w:val="32"/>
      <w:szCs w:val="22"/>
    </w:rPr>
  </w:style>
  <w:style w:type="paragraph" w:styleId="9">
    <w:name w:val="footer"/>
    <w:basedOn w:val="1"/>
    <w:qFormat/>
    <w:uiPriority w:val="0"/>
    <w:pPr>
      <w:tabs>
        <w:tab w:val="center" w:pos="4153"/>
        <w:tab w:val="right" w:pos="8306"/>
      </w:tabs>
      <w:snapToGrid w:val="0"/>
      <w:jc w:val="left"/>
    </w:pPr>
    <w:rPr>
      <w:sz w:val="18"/>
      <w:lang w:bidi="he-IL"/>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next w:val="2"/>
    <w:qFormat/>
    <w:uiPriority w:val="0"/>
    <w:pPr>
      <w:spacing w:after="120" w:line="480" w:lineRule="auto"/>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Title"/>
    <w:basedOn w:val="1"/>
    <w:next w:val="1"/>
    <w:link w:val="20"/>
    <w:qFormat/>
    <w:uiPriority w:val="0"/>
    <w:pPr>
      <w:spacing w:before="240" w:after="60"/>
      <w:outlineLvl w:val="0"/>
    </w:pPr>
    <w:rPr>
      <w:rFonts w:ascii="Cambria" w:hAnsi="Cambria"/>
      <w:b/>
      <w:bCs/>
      <w:sz w:val="32"/>
      <w:szCs w:val="32"/>
    </w:rPr>
  </w:style>
  <w:style w:type="paragraph" w:styleId="14">
    <w:name w:val="Body Text First Indent 2"/>
    <w:basedOn w:val="5"/>
    <w:unhideWhenUsed/>
    <w:qFormat/>
    <w:uiPriority w:val="0"/>
    <w:pPr>
      <w:ind w:firstLine="42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List Paragraph"/>
    <w:basedOn w:val="1"/>
    <w:qFormat/>
    <w:uiPriority w:val="0"/>
    <w:pPr>
      <w:ind w:firstLine="420" w:firstLineChars="200"/>
    </w:pPr>
  </w:style>
  <w:style w:type="character" w:customStyle="1" w:styleId="20">
    <w:name w:val="标题 Char"/>
    <w:link w:val="13"/>
    <w:qFormat/>
    <w:uiPriority w:val="0"/>
    <w:rPr>
      <w:rFonts w:ascii="Cambria" w:hAnsi="Cambria"/>
      <w:b/>
      <w:bCs/>
      <w:sz w:val="32"/>
      <w:szCs w:val="32"/>
    </w:rPr>
  </w:style>
  <w:style w:type="character" w:customStyle="1" w:styleId="21">
    <w:name w:val="font01"/>
    <w:basedOn w:val="17"/>
    <w:qFormat/>
    <w:uiPriority w:val="0"/>
    <w:rPr>
      <w:rFonts w:hint="eastAsia" w:ascii="宋体" w:hAnsi="宋体" w:eastAsia="宋体" w:cs="宋体"/>
      <w:color w:val="000000"/>
      <w:sz w:val="20"/>
      <w:szCs w:val="20"/>
      <w:u w:val="none"/>
    </w:rPr>
  </w:style>
  <w:style w:type="character" w:customStyle="1" w:styleId="22">
    <w:name w:val="font21"/>
    <w:basedOn w:val="17"/>
    <w:qFormat/>
    <w:uiPriority w:val="0"/>
    <w:rPr>
      <w:rFonts w:ascii="Arial" w:hAnsi="Arial" w:cs="Arial"/>
      <w:color w:val="000000"/>
      <w:sz w:val="20"/>
      <w:szCs w:val="20"/>
      <w:u w:val="none"/>
    </w:rPr>
  </w:style>
  <w:style w:type="character" w:customStyle="1" w:styleId="23">
    <w:name w:val="font11"/>
    <w:basedOn w:val="17"/>
    <w:qFormat/>
    <w:uiPriority w:val="0"/>
    <w:rPr>
      <w:rFonts w:hint="eastAsia" w:ascii="宋体" w:hAnsi="宋体" w:eastAsia="宋体" w:cs="宋体"/>
      <w:color w:val="000000"/>
      <w:sz w:val="18"/>
      <w:szCs w:val="18"/>
      <w:u w:val="none"/>
    </w:rPr>
  </w:style>
  <w:style w:type="character" w:customStyle="1" w:styleId="24">
    <w:name w:val="font31"/>
    <w:basedOn w:val="17"/>
    <w:qFormat/>
    <w:uiPriority w:val="0"/>
    <w:rPr>
      <w:rFonts w:hint="default" w:ascii="Arial" w:hAnsi="Arial" w:cs="Arial"/>
      <w:color w:val="000000"/>
      <w:sz w:val="18"/>
      <w:szCs w:val="18"/>
      <w:u w:val="none"/>
    </w:rPr>
  </w:style>
  <w:style w:type="paragraph" w:customStyle="1" w:styleId="2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6">
    <w:name w:val="Table Text"/>
    <w:basedOn w:val="1"/>
    <w:semiHidden/>
    <w:qFormat/>
    <w:uiPriority w:val="0"/>
    <w:rPr>
      <w:rFonts w:ascii="宋体" w:hAnsi="宋体" w:eastAsia="宋体" w:cs="宋体"/>
      <w:sz w:val="28"/>
      <w:szCs w:val="28"/>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缺省文本"/>
    <w:basedOn w:val="1"/>
    <w:qFormat/>
    <w:uiPriority w:val="0"/>
    <w:pPr>
      <w:autoSpaceDE w:val="0"/>
      <w:autoSpaceDN w:val="0"/>
      <w:adjustRightInd w:val="0"/>
      <w:jc w:val="left"/>
    </w:pPr>
    <w:rPr>
      <w:kern w:val="0"/>
      <w:sz w:val="24"/>
      <w:szCs w:val="20"/>
    </w:rPr>
  </w:style>
  <w:style w:type="paragraph" w:customStyle="1" w:styleId="29">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宋体"/>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2703</Words>
  <Characters>2832</Characters>
  <Lines>0</Lines>
  <Paragraphs>0</Paragraphs>
  <TotalTime>2</TotalTime>
  <ScaleCrop>false</ScaleCrop>
  <LinksUpToDate>false</LinksUpToDate>
  <CharactersWithSpaces>2852</CharactersWithSpaces>
  <Application>WPS Office_12.1.0.28792_F1E327BC-269C-435d-A152-05C5408002CA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2024-12-18T06:48:00Z</dcterms:created>
  <dc:creator>Administrator.DESKTOP-IICAK8A</dc:creator>
  <cp:lastModifiedBy>能能</cp:lastModifiedBy>
  <dcterms:modified xsi:type="dcterms:W3CDTF">2026-09-16T07:49:10Z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2052-12.1.0.28792</vt:lpwstr>
  </property>
  <property fmtid="{D5CDD505-2E9C-101B-9397-08002B2CF9AE}" pid="3" name="ICV">
    <vt:lpwstr>68256FD196C845FA99C1FFB0258BD82B_13</vt:lpwstr>
  </property>
  <property fmtid="{D5CDD505-2E9C-101B-9397-08002B2CF9AE}" pid="4" name="KSOTemplateDocerSaveRecord">
    <vt:lpwstr>eyJoZGlkIjoiMTU1MGI0MTgwMTU0MzQ0NjdlZGQyYmM0MTBjZjEwZjYiLCJ1c2VySWQiOiI1NTUzMTQ2MDYifQ==</vt:lpwstr>
  </property>
</Properties>
</file>