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4ED09">
      <w:pPr>
        <w:keepNext/>
        <w:keepLines/>
        <w:pageBreakBefore w:val="0"/>
        <w:widowControl w:val="0"/>
        <w:kinsoku/>
        <w:wordWrap/>
        <w:overflowPunct/>
        <w:topLinePunct w:val="0"/>
        <w:autoSpaceDE/>
        <w:autoSpaceDN/>
        <w:bidi w:val="0"/>
        <w:adjustRightInd/>
        <w:spacing w:line="460" w:lineRule="exact"/>
        <w:jc w:val="center"/>
        <w:outlineLvl w:val="0"/>
        <w:rPr>
          <w:rFonts w:hint="eastAsia" w:ascii="Times New Roman" w:hAnsi="Times New Roman" w:eastAsia="仿宋_GB2312" w:cs="Times New Roman"/>
          <w:b/>
          <w:bCs/>
          <w:kern w:val="2"/>
          <w:sz w:val="24"/>
          <w:szCs w:val="24"/>
          <w:lang w:val="en-US" w:eastAsia="zh-CN" w:bidi="ar-SA"/>
        </w:rPr>
      </w:pPr>
      <w:r>
        <w:rPr>
          <w:rFonts w:hint="eastAsia" w:ascii="仿宋_GB2312" w:hAnsi="仿宋_GB2312" w:eastAsia="仿宋_GB2312" w:cs="仿宋_GB2312"/>
          <w:b/>
          <w:bCs/>
          <w:color w:val="auto"/>
          <w:kern w:val="2"/>
          <w:sz w:val="28"/>
          <w:szCs w:val="28"/>
          <w:highlight w:val="yellow"/>
          <w:lang w:val="en-US" w:eastAsia="zh-CN" w:bidi="ar-SA"/>
        </w:rPr>
        <w:t>（本次公示的采购需求为初步需求，具体以采购文件为准）</w:t>
      </w:r>
    </w:p>
    <w:p w14:paraId="6DAC0A41">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马鞍山市中医院门诊分诊系统与智能导检系统维保服务内容及总体要求</w:t>
      </w:r>
    </w:p>
    <w:p w14:paraId="5C1F485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p>
    <w:p w14:paraId="40467D0B">
      <w:pPr>
        <w:keepNext w:val="0"/>
        <w:keepLines w:val="0"/>
        <w:pageBreakBefore w:val="0"/>
        <w:widowControl/>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一、采购预算</w:t>
      </w:r>
    </w:p>
    <w:p w14:paraId="626F20EC">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项目预算（人民币）：</w:t>
      </w:r>
      <w:r>
        <w:rPr>
          <w:rFonts w:hint="eastAsia" w:ascii="宋体" w:hAnsi="宋体" w:cs="宋体"/>
          <w:b w:val="0"/>
          <w:bCs w:val="0"/>
          <w:color w:val="auto"/>
          <w:sz w:val="24"/>
          <w:szCs w:val="24"/>
          <w:highlight w:val="none"/>
          <w:lang w:val="en-US" w:eastAsia="zh-CN"/>
        </w:rPr>
        <w:t>3.56</w:t>
      </w:r>
      <w:r>
        <w:rPr>
          <w:rFonts w:hint="eastAsia" w:asciiTheme="minorEastAsia" w:hAnsiTheme="minorEastAsia" w:eastAsiaTheme="minorEastAsia" w:cstheme="minorEastAsia"/>
          <w:sz w:val="24"/>
          <w:szCs w:val="24"/>
          <w:lang w:val="en-US" w:eastAsia="zh-CN"/>
        </w:rPr>
        <w:t>万元/年；</w:t>
      </w:r>
    </w:p>
    <w:p w14:paraId="57A2331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最高限价（人民币）：</w:t>
      </w:r>
      <w:r>
        <w:rPr>
          <w:rFonts w:hint="eastAsia" w:ascii="宋体" w:hAnsi="宋体" w:cs="宋体"/>
          <w:b w:val="0"/>
          <w:bCs w:val="0"/>
          <w:color w:val="auto"/>
          <w:sz w:val="24"/>
          <w:szCs w:val="24"/>
          <w:highlight w:val="none"/>
          <w:lang w:val="en-US" w:eastAsia="zh-CN"/>
        </w:rPr>
        <w:t>3.56</w:t>
      </w:r>
      <w:r>
        <w:rPr>
          <w:rFonts w:hint="eastAsia" w:asciiTheme="minorEastAsia" w:hAnsiTheme="minorEastAsia" w:eastAsiaTheme="minorEastAsia" w:cstheme="minorEastAsia"/>
          <w:sz w:val="24"/>
          <w:szCs w:val="24"/>
          <w:lang w:val="en-US" w:eastAsia="zh-CN"/>
        </w:rPr>
        <w:t>万元/年。</w:t>
      </w:r>
    </w:p>
    <w:p w14:paraId="2C8961BE">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kern w:val="2"/>
          <w:sz w:val="24"/>
          <w:szCs w:val="24"/>
          <w:lang w:val="en-US" w:eastAsia="zh-CN" w:bidi="ar-SA"/>
        </w:rPr>
        <w:t>二、</w:t>
      </w:r>
      <w:r>
        <w:rPr>
          <w:rFonts w:hint="eastAsia" w:asciiTheme="minorEastAsia" w:hAnsiTheme="minorEastAsia" w:eastAsiaTheme="minorEastAsia" w:cstheme="minorEastAsia"/>
          <w:b/>
          <w:bCs/>
          <w:sz w:val="24"/>
          <w:szCs w:val="24"/>
          <w:lang w:val="en-US" w:eastAsia="zh-CN"/>
        </w:rPr>
        <w:t>采购内容及相关要求</w:t>
      </w:r>
    </w:p>
    <w:p w14:paraId="1BAF3633">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（一）采购清单</w:t>
      </w:r>
    </w:p>
    <w:tbl>
      <w:tblPr>
        <w:tblStyle w:val="1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5958"/>
        <w:gridCol w:w="757"/>
        <w:gridCol w:w="1048"/>
      </w:tblGrid>
      <w:tr w14:paraId="1666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ign w:val="center"/>
          </w:tcPr>
          <w:p w14:paraId="57A2521C">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序号</w:t>
            </w:r>
          </w:p>
        </w:tc>
        <w:tc>
          <w:tcPr>
            <w:tcW w:w="0" w:type="auto"/>
            <w:noWrap/>
            <w:vAlign w:val="center"/>
          </w:tcPr>
          <w:p w14:paraId="5FC817B4">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服务名称（标的名称）</w:t>
            </w:r>
          </w:p>
        </w:tc>
        <w:tc>
          <w:tcPr>
            <w:tcW w:w="0" w:type="auto"/>
            <w:noWrap w:val="0"/>
            <w:vAlign w:val="center"/>
          </w:tcPr>
          <w:p w14:paraId="6FCCD106">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数量</w:t>
            </w:r>
          </w:p>
        </w:tc>
        <w:tc>
          <w:tcPr>
            <w:tcW w:w="1048" w:type="dxa"/>
            <w:noWrap/>
            <w:vAlign w:val="center"/>
          </w:tcPr>
          <w:p w14:paraId="55361814">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单位</w:t>
            </w:r>
          </w:p>
        </w:tc>
      </w:tr>
      <w:tr w14:paraId="56C6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FFFFF"/>
            <w:noWrap/>
            <w:vAlign w:val="center"/>
          </w:tcPr>
          <w:p w14:paraId="6A1911ED">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1</w:t>
            </w:r>
          </w:p>
        </w:tc>
        <w:tc>
          <w:tcPr>
            <w:tcW w:w="0" w:type="auto"/>
            <w:shd w:val="clear" w:color="auto" w:fill="FFFFFF"/>
            <w:noWrap/>
            <w:vAlign w:val="center"/>
          </w:tcPr>
          <w:p w14:paraId="0116CB38">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eastAsia="黑体" w:asciiTheme="minorEastAsia" w:hAnsiTheme="minorEastAsia" w:cstheme="minorEastAsia"/>
                <w:b/>
                <w:bCs w:val="0"/>
                <w:i w:val="0"/>
                <w:sz w:val="24"/>
                <w:szCs w:val="24"/>
                <w:lang w:val="en-US" w:eastAsia="zh-CN"/>
              </w:rPr>
            </w:pPr>
            <w:r>
              <w:rPr>
                <w:rFonts w:hint="eastAsia" w:ascii="宋体" w:hAnsi="宋体" w:eastAsia="宋体" w:cs="宋体"/>
                <w:color w:val="auto"/>
                <w:sz w:val="24"/>
                <w:szCs w:val="24"/>
                <w:highlight w:val="none"/>
                <w:lang w:val="en-US" w:eastAsia="zh-CN"/>
              </w:rPr>
              <w:t>马鞍山市中医院</w:t>
            </w:r>
            <w:r>
              <w:rPr>
                <w:rFonts w:hint="eastAsia" w:ascii="宋体" w:hAnsi="宋体" w:cs="宋体"/>
                <w:color w:val="auto"/>
                <w:sz w:val="24"/>
                <w:szCs w:val="24"/>
                <w:highlight w:val="none"/>
                <w:lang w:val="en-US" w:eastAsia="zh-CN"/>
              </w:rPr>
              <w:t>门诊分诊系统与智能导检系统</w:t>
            </w:r>
            <w:r>
              <w:rPr>
                <w:rFonts w:hint="eastAsia" w:ascii="宋体" w:hAnsi="宋体" w:eastAsia="宋体" w:cs="宋体"/>
                <w:color w:val="auto"/>
                <w:sz w:val="24"/>
                <w:szCs w:val="24"/>
                <w:highlight w:val="none"/>
                <w:lang w:val="en-US" w:eastAsia="zh-CN"/>
              </w:rPr>
              <w:t>维保</w:t>
            </w:r>
          </w:p>
        </w:tc>
        <w:tc>
          <w:tcPr>
            <w:tcW w:w="0" w:type="auto"/>
            <w:shd w:val="clear" w:color="auto" w:fill="FFFFFF"/>
            <w:noWrap w:val="0"/>
            <w:vAlign w:val="center"/>
          </w:tcPr>
          <w:p w14:paraId="6446343C">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1</w:t>
            </w:r>
          </w:p>
        </w:tc>
        <w:tc>
          <w:tcPr>
            <w:tcW w:w="1048" w:type="dxa"/>
            <w:shd w:val="clear" w:color="auto" w:fill="FFFFFF"/>
            <w:noWrap/>
            <w:vAlign w:val="center"/>
          </w:tcPr>
          <w:p w14:paraId="467FDFAC">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sz w:val="24"/>
                <w:szCs w:val="24"/>
                <w:lang w:val="en-US" w:eastAsia="zh-CN"/>
              </w:rPr>
            </w:pPr>
            <w:r>
              <w:rPr>
                <w:rFonts w:hint="eastAsia" w:ascii="宋体" w:hAnsi="宋体" w:eastAsia="宋体" w:cs="宋体"/>
                <w:color w:val="auto"/>
                <w:sz w:val="24"/>
                <w:szCs w:val="24"/>
                <w:highlight w:val="none"/>
                <w:lang w:val="en-US" w:eastAsia="zh-CN"/>
              </w:rPr>
              <w:t>项</w:t>
            </w:r>
          </w:p>
        </w:tc>
      </w:tr>
    </w:tbl>
    <w:p w14:paraId="2F48775E">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center"/>
        <w:textAlignment w:val="auto"/>
        <w:rPr>
          <w:rFonts w:hint="eastAsia" w:asciiTheme="minorEastAsia" w:hAnsiTheme="minorEastAsia" w:eastAsiaTheme="minorEastAsia" w:cstheme="minorEastAsia"/>
          <w:b/>
          <w:bCs/>
          <w:sz w:val="24"/>
          <w:szCs w:val="24"/>
          <w:lang w:val="en-US" w:eastAsia="zh-CN"/>
        </w:rPr>
      </w:pPr>
    </w:p>
    <w:p w14:paraId="4D6716EC">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（二）项目背景</w:t>
      </w:r>
    </w:p>
    <w:p w14:paraId="16529554">
      <w:pPr>
        <w:spacing w:line="360" w:lineRule="auto"/>
        <w:ind w:firstLine="480" w:firstLineChars="200"/>
        <w:rPr>
          <w:rFonts w:hint="eastAsia" w:ascii="宋体" w:hAnsi="宋体" w:eastAsia="宋体" w:cs="宋体"/>
          <w:b w:val="0"/>
          <w:i w:val="0"/>
          <w:strike w:val="0"/>
          <w:color w:val="auto"/>
          <w:sz w:val="24"/>
          <w:szCs w:val="24"/>
          <w:highlight w:val="none"/>
          <w:u w:val="none"/>
          <w:lang w:val="en-US" w:eastAsia="zh-CN"/>
        </w:rPr>
      </w:pPr>
      <w:r>
        <w:rPr>
          <w:rFonts w:hint="eastAsia" w:cs="宋体" w:asciiTheme="minorEastAsia" w:hAnsiTheme="minorEastAsia"/>
          <w:sz w:val="24"/>
        </w:rPr>
        <w:t>随着我院门诊分诊系统与智能导检系统在各业务场景的广泛应用，为保障系统及配套设备稳定运行，为患者提供便捷、有序的就诊引导服务，实现挂号、报到、分诊、排队叫号、语音播报、信息显示、过号回叫、检查检验结果回叫等业务功能的顺畅衔接；保障医院业务的正常有序运行，缩短患者候诊时间，提升患者就医体验和门诊服务秩序</w:t>
      </w:r>
      <w:r>
        <w:rPr>
          <w:rFonts w:hint="eastAsia" w:cs="宋体" w:asciiTheme="minorEastAsia" w:hAnsiTheme="minorEastAsia"/>
          <w:sz w:val="24"/>
          <w:lang w:eastAsia="zh-CN"/>
        </w:rPr>
        <w:t>。</w:t>
      </w:r>
    </w:p>
    <w:p w14:paraId="4066BFF5">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center"/>
        <w:textAlignment w:val="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
          <w:bCs/>
          <w:sz w:val="24"/>
          <w:szCs w:val="24"/>
          <w:lang w:val="en-US" w:eastAsia="zh-CN"/>
        </w:rPr>
        <w:t>（三）设备概况</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3890"/>
        <w:gridCol w:w="868"/>
        <w:gridCol w:w="1646"/>
        <w:gridCol w:w="1259"/>
      </w:tblGrid>
      <w:tr w14:paraId="5CD7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859" w:type="dxa"/>
            <w:vAlign w:val="center"/>
          </w:tcPr>
          <w:p w14:paraId="3136EE1B">
            <w:pPr>
              <w:pStyle w:val="11"/>
              <w:snapToGrid w:val="0"/>
              <w:spacing w:after="0" w:line="240" w:lineRule="auto"/>
              <w:ind w:left="0" w:leftChars="0" w:right="0" w:rightChars="0" w:firstLine="0" w:firstLineChars="0"/>
              <w:jc w:val="center"/>
              <w:rPr>
                <w:rFonts w:hint="eastAsia" w:ascii="宋体" w:hAnsi="宋体" w:eastAsia="宋体" w:cs="宋体"/>
                <w:b/>
                <w:bCs/>
                <w:color w:val="auto"/>
                <w:sz w:val="24"/>
                <w:szCs w:val="24"/>
                <w:highlight w:val="none"/>
                <w:vertAlign w:val="baseline"/>
                <w:lang w:val="en-US" w:eastAsia="zh-CN"/>
              </w:rPr>
            </w:pPr>
            <w:r>
              <w:rPr>
                <w:rFonts w:hint="eastAsia" w:cs="宋体" w:asciiTheme="minorEastAsia" w:hAnsiTheme="minorEastAsia"/>
                <w:b/>
                <w:bCs/>
                <w:sz w:val="24"/>
              </w:rPr>
              <w:t>序号</w:t>
            </w:r>
          </w:p>
        </w:tc>
        <w:tc>
          <w:tcPr>
            <w:tcW w:w="3890" w:type="dxa"/>
            <w:vAlign w:val="center"/>
          </w:tcPr>
          <w:p w14:paraId="106B43EC">
            <w:pPr>
              <w:pStyle w:val="11"/>
              <w:snapToGrid w:val="0"/>
              <w:spacing w:after="0" w:line="240" w:lineRule="auto"/>
              <w:ind w:left="0" w:leftChars="0" w:right="0" w:rightChars="0" w:firstLine="0" w:firstLineChars="0"/>
              <w:jc w:val="center"/>
              <w:rPr>
                <w:rFonts w:hint="default" w:ascii="宋体" w:hAnsi="宋体" w:eastAsia="宋体" w:cs="宋体"/>
                <w:b/>
                <w:bCs/>
                <w:color w:val="auto"/>
                <w:sz w:val="24"/>
                <w:szCs w:val="24"/>
                <w:highlight w:val="none"/>
                <w:vertAlign w:val="baseline"/>
                <w:lang w:val="en-US" w:eastAsia="zh-CN"/>
              </w:rPr>
            </w:pPr>
            <w:r>
              <w:rPr>
                <w:rFonts w:hint="eastAsia" w:cs="宋体" w:asciiTheme="minorEastAsia" w:hAnsiTheme="minorEastAsia"/>
                <w:b/>
                <w:bCs/>
                <w:sz w:val="24"/>
              </w:rPr>
              <w:t>设备类型</w:t>
            </w:r>
          </w:p>
        </w:tc>
        <w:tc>
          <w:tcPr>
            <w:tcW w:w="868" w:type="dxa"/>
            <w:vAlign w:val="center"/>
          </w:tcPr>
          <w:p w14:paraId="14C82448">
            <w:pPr>
              <w:pStyle w:val="11"/>
              <w:snapToGrid w:val="0"/>
              <w:spacing w:after="0" w:line="240" w:lineRule="auto"/>
              <w:ind w:left="0" w:leftChars="0" w:right="0" w:rightChars="0" w:firstLine="0" w:firstLineChars="0"/>
              <w:jc w:val="center"/>
              <w:rPr>
                <w:rFonts w:hint="eastAsia" w:ascii="宋体" w:hAnsi="宋体" w:eastAsia="宋体" w:cs="宋体"/>
                <w:b/>
                <w:bCs/>
                <w:color w:val="auto"/>
                <w:sz w:val="24"/>
                <w:szCs w:val="24"/>
                <w:highlight w:val="none"/>
                <w:vertAlign w:val="baseline"/>
                <w:lang w:val="en-US" w:eastAsia="zh-CN"/>
              </w:rPr>
            </w:pPr>
            <w:r>
              <w:rPr>
                <w:rFonts w:hint="eastAsia" w:cs="宋体" w:asciiTheme="minorEastAsia" w:hAnsiTheme="minorEastAsia"/>
                <w:b/>
                <w:bCs/>
                <w:sz w:val="24"/>
              </w:rPr>
              <w:t>数量</w:t>
            </w:r>
          </w:p>
        </w:tc>
        <w:tc>
          <w:tcPr>
            <w:tcW w:w="0" w:type="auto"/>
            <w:vAlign w:val="center"/>
          </w:tcPr>
          <w:p w14:paraId="332C992B">
            <w:pPr>
              <w:pStyle w:val="11"/>
              <w:snapToGrid w:val="0"/>
              <w:spacing w:after="0" w:line="240" w:lineRule="auto"/>
              <w:ind w:left="0" w:leftChars="0" w:right="0" w:rightChars="0" w:firstLine="0" w:firstLineChars="0"/>
              <w:jc w:val="center"/>
              <w:rPr>
                <w:rFonts w:hint="eastAsia" w:ascii="宋体" w:hAnsi="宋体" w:eastAsia="宋体" w:cs="宋体"/>
                <w:b/>
                <w:bCs/>
                <w:color w:val="auto"/>
                <w:sz w:val="24"/>
                <w:szCs w:val="24"/>
                <w:highlight w:val="none"/>
                <w:vertAlign w:val="baseline"/>
                <w:lang w:val="en-US" w:eastAsia="zh-CN"/>
              </w:rPr>
            </w:pPr>
            <w:r>
              <w:rPr>
                <w:rFonts w:hint="eastAsia" w:cs="宋体" w:asciiTheme="minorEastAsia" w:hAnsiTheme="minorEastAsia"/>
                <w:b/>
                <w:bCs/>
                <w:sz w:val="24"/>
                <w:lang w:val="en-US" w:eastAsia="zh-CN"/>
              </w:rPr>
              <w:t>型号</w:t>
            </w:r>
          </w:p>
        </w:tc>
        <w:tc>
          <w:tcPr>
            <w:tcW w:w="1258" w:type="dxa"/>
            <w:vAlign w:val="center"/>
          </w:tcPr>
          <w:p w14:paraId="582F982F">
            <w:pPr>
              <w:pStyle w:val="11"/>
              <w:snapToGrid w:val="0"/>
              <w:spacing w:after="0" w:line="240" w:lineRule="auto"/>
              <w:ind w:left="0" w:leftChars="0" w:right="0" w:rightChars="0" w:firstLine="0" w:firstLineChars="0"/>
              <w:jc w:val="center"/>
              <w:rPr>
                <w:rFonts w:hint="default" w:ascii="宋体" w:hAnsi="宋体" w:eastAsia="宋体" w:cs="宋体"/>
                <w:b/>
                <w:bCs/>
                <w:color w:val="auto"/>
                <w:sz w:val="24"/>
                <w:szCs w:val="24"/>
                <w:highlight w:val="none"/>
                <w:vertAlign w:val="baseline"/>
                <w:lang w:val="en-US"/>
              </w:rPr>
            </w:pPr>
            <w:r>
              <w:rPr>
                <w:rFonts w:hint="eastAsia" w:cs="宋体" w:asciiTheme="minorEastAsia" w:hAnsiTheme="minorEastAsia"/>
                <w:b/>
                <w:bCs/>
                <w:sz w:val="24"/>
              </w:rPr>
              <w:t>内容</w:t>
            </w:r>
          </w:p>
        </w:tc>
      </w:tr>
      <w:tr w14:paraId="7506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45C3DB10">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sz w:val="22"/>
              </w:rPr>
              <w:t>1</w:t>
            </w:r>
          </w:p>
        </w:tc>
        <w:tc>
          <w:tcPr>
            <w:tcW w:w="3890" w:type="dxa"/>
            <w:vAlign w:val="center"/>
          </w:tcPr>
          <w:p w14:paraId="6DCF3D6D">
            <w:pPr>
              <w:widowControl/>
              <w:snapToGrid w:val="0"/>
              <w:spacing w:line="240" w:lineRule="auto"/>
              <w:ind w:left="0" w:leftChars="0" w:right="0" w:rightChars="0" w:firstLine="0" w:firstLineChars="0"/>
              <w:jc w:val="center"/>
              <w:rPr>
                <w:rFonts w:hint="eastAsia" w:ascii="宋体" w:hAnsi="宋体" w:eastAsia="宋体" w:cs="宋体"/>
                <w:color w:val="auto"/>
                <w:sz w:val="22"/>
                <w:szCs w:val="24"/>
                <w:highlight w:val="none"/>
                <w:lang w:val="zh-CN"/>
              </w:rPr>
            </w:pPr>
            <w:r>
              <w:rPr>
                <w:rFonts w:hint="eastAsia" w:ascii="宋体" w:eastAsia="宋体" w:cs="宋体" w:hAnsiTheme="minorEastAsia"/>
                <w:color w:val="000000"/>
                <w:kern w:val="0"/>
                <w:sz w:val="22"/>
                <w:szCs w:val="22"/>
              </w:rPr>
              <w:t>门诊分诊系统与智能导检系统软件（含体检导医系统、语音平台库、多媒体医疗导引服务器端、普通门诊导诊叫号、护士分诊台管理客户端）</w:t>
            </w:r>
          </w:p>
        </w:tc>
        <w:tc>
          <w:tcPr>
            <w:tcW w:w="868" w:type="dxa"/>
            <w:vAlign w:val="center"/>
          </w:tcPr>
          <w:p w14:paraId="131B4248">
            <w:pPr>
              <w:widowControl/>
              <w:snapToGrid w:val="0"/>
              <w:spacing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1套</w:t>
            </w:r>
          </w:p>
        </w:tc>
        <w:tc>
          <w:tcPr>
            <w:tcW w:w="0" w:type="auto"/>
            <w:vAlign w:val="center"/>
          </w:tcPr>
          <w:p w14:paraId="2B34688E">
            <w:pPr>
              <w:widowControl/>
              <w:snapToGrid w:val="0"/>
              <w:spacing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V1.0</w:t>
            </w:r>
          </w:p>
        </w:tc>
        <w:tc>
          <w:tcPr>
            <w:tcW w:w="1258" w:type="dxa"/>
            <w:vAlign w:val="center"/>
          </w:tcPr>
          <w:p w14:paraId="523E0924">
            <w:pPr>
              <w:widowControl/>
              <w:snapToGrid w:val="0"/>
              <w:spacing w:line="240" w:lineRule="auto"/>
              <w:ind w:left="0" w:leftChars="0" w:right="0" w:rightChars="0" w:firstLine="0" w:firstLineChars="0"/>
              <w:jc w:val="center"/>
              <w:rPr>
                <w:rFonts w:hint="default" w:ascii="宋体" w:hAnsi="宋体" w:eastAsia="宋体" w:cs="宋体"/>
                <w:color w:val="auto"/>
                <w:sz w:val="22"/>
                <w:szCs w:val="24"/>
                <w:highlight w:val="none"/>
                <w:vertAlign w:val="baseline"/>
                <w:lang w:val="en-US" w:eastAsia="zh-CN"/>
              </w:rPr>
            </w:pPr>
          </w:p>
        </w:tc>
      </w:tr>
      <w:tr w14:paraId="71EA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23551CAD">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sz w:val="22"/>
              </w:rPr>
              <w:t>2</w:t>
            </w:r>
          </w:p>
        </w:tc>
        <w:tc>
          <w:tcPr>
            <w:tcW w:w="3890" w:type="dxa"/>
            <w:vAlign w:val="center"/>
          </w:tcPr>
          <w:p w14:paraId="71F01C8E">
            <w:pPr>
              <w:widowControl/>
              <w:snapToGrid w:val="0"/>
              <w:spacing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22寸网络液晶一体机</w:t>
            </w:r>
          </w:p>
        </w:tc>
        <w:tc>
          <w:tcPr>
            <w:tcW w:w="868" w:type="dxa"/>
            <w:vAlign w:val="center"/>
          </w:tcPr>
          <w:p w14:paraId="04F71680">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48</w:t>
            </w:r>
            <w:r>
              <w:rPr>
                <w:rFonts w:hint="eastAsia" w:ascii="宋体" w:eastAsia="宋体" w:cs="宋体" w:hAnsiTheme="minorEastAsia"/>
                <w:color w:val="000000"/>
                <w:kern w:val="0"/>
                <w:sz w:val="22"/>
                <w:szCs w:val="22"/>
              </w:rPr>
              <w:t>台</w:t>
            </w:r>
          </w:p>
        </w:tc>
        <w:tc>
          <w:tcPr>
            <w:tcW w:w="0" w:type="auto"/>
            <w:vAlign w:val="center"/>
          </w:tcPr>
          <w:p w14:paraId="6FD13F93">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LED22-MSTV-H</w:t>
            </w:r>
          </w:p>
        </w:tc>
        <w:tc>
          <w:tcPr>
            <w:tcW w:w="1258" w:type="dxa"/>
            <w:vAlign w:val="center"/>
          </w:tcPr>
          <w:p w14:paraId="225B32C6">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vertAlign w:val="baseline"/>
                <w:lang w:val="en-US" w:eastAsia="zh-CN"/>
              </w:rPr>
            </w:pPr>
            <w:r>
              <w:rPr>
                <w:rFonts w:hint="eastAsia" w:ascii="宋体" w:eastAsia="宋体" w:cs="宋体" w:hAnsiTheme="minorEastAsia"/>
                <w:color w:val="000000"/>
                <w:kern w:val="0"/>
                <w:sz w:val="22"/>
                <w:szCs w:val="22"/>
              </w:rPr>
              <w:t>全套硬件</w:t>
            </w:r>
          </w:p>
        </w:tc>
      </w:tr>
      <w:tr w14:paraId="0487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21056B93">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sz w:val="22"/>
                <w:lang w:val="en-US" w:eastAsia="zh-CN"/>
              </w:rPr>
              <w:t>3</w:t>
            </w:r>
          </w:p>
        </w:tc>
        <w:tc>
          <w:tcPr>
            <w:tcW w:w="3890" w:type="dxa"/>
            <w:vAlign w:val="center"/>
          </w:tcPr>
          <w:p w14:paraId="1B3F261D">
            <w:pPr>
              <w:widowControl/>
              <w:snapToGrid w:val="0"/>
              <w:spacing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22寸网络液晶一体机</w:t>
            </w:r>
          </w:p>
        </w:tc>
        <w:tc>
          <w:tcPr>
            <w:tcW w:w="868" w:type="dxa"/>
            <w:vAlign w:val="center"/>
          </w:tcPr>
          <w:p w14:paraId="4AE78AE1">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18台</w:t>
            </w:r>
          </w:p>
        </w:tc>
        <w:tc>
          <w:tcPr>
            <w:tcW w:w="0" w:type="auto"/>
            <w:vAlign w:val="center"/>
          </w:tcPr>
          <w:p w14:paraId="73AD5E68">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LED22-A64S-I</w:t>
            </w:r>
          </w:p>
        </w:tc>
        <w:tc>
          <w:tcPr>
            <w:tcW w:w="1258" w:type="dxa"/>
            <w:vAlign w:val="center"/>
          </w:tcPr>
          <w:p w14:paraId="1FA17C32">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vertAlign w:val="baseline"/>
                <w:lang w:val="en-US" w:eastAsia="zh-CN"/>
              </w:rPr>
            </w:pPr>
            <w:r>
              <w:rPr>
                <w:rFonts w:hint="eastAsia" w:ascii="宋体" w:eastAsia="宋体" w:cs="宋体" w:hAnsiTheme="minorEastAsia"/>
                <w:color w:val="000000"/>
                <w:kern w:val="0"/>
                <w:sz w:val="22"/>
                <w:szCs w:val="22"/>
              </w:rPr>
              <w:t>全套硬件</w:t>
            </w:r>
          </w:p>
        </w:tc>
      </w:tr>
      <w:tr w14:paraId="2A04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4D6F31E0">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sz w:val="22"/>
                <w:lang w:val="en-US" w:eastAsia="zh-CN"/>
              </w:rPr>
              <w:t>4</w:t>
            </w:r>
          </w:p>
        </w:tc>
        <w:tc>
          <w:tcPr>
            <w:tcW w:w="3890" w:type="dxa"/>
            <w:vAlign w:val="center"/>
          </w:tcPr>
          <w:p w14:paraId="0F6DAEF8">
            <w:pPr>
              <w:widowControl/>
              <w:snapToGrid w:val="0"/>
              <w:spacing w:line="240" w:lineRule="auto"/>
              <w:ind w:left="0" w:leftChars="0" w:right="0" w:rightChars="0" w:firstLine="0" w:firstLineChars="0"/>
              <w:jc w:val="center"/>
              <w:rPr>
                <w:rFonts w:hint="default" w:ascii="宋体" w:hAnsi="宋体" w:eastAsia="宋体" w:cs="宋体"/>
                <w:color w:val="auto"/>
                <w:sz w:val="22"/>
                <w:szCs w:val="24"/>
                <w:highlight w:val="none"/>
                <w:lang w:val="en-US"/>
              </w:rPr>
            </w:pPr>
            <w:r>
              <w:rPr>
                <w:rFonts w:hint="eastAsia" w:ascii="宋体" w:eastAsia="宋体" w:cs="宋体" w:hAnsiTheme="minorEastAsia"/>
                <w:color w:val="000000"/>
                <w:kern w:val="0"/>
                <w:sz w:val="22"/>
                <w:szCs w:val="22"/>
              </w:rPr>
              <w:t>自助报到机</w:t>
            </w:r>
          </w:p>
        </w:tc>
        <w:tc>
          <w:tcPr>
            <w:tcW w:w="868" w:type="dxa"/>
            <w:vAlign w:val="center"/>
          </w:tcPr>
          <w:p w14:paraId="678C2AAE">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4台</w:t>
            </w:r>
          </w:p>
        </w:tc>
        <w:tc>
          <w:tcPr>
            <w:tcW w:w="0" w:type="auto"/>
            <w:vAlign w:val="center"/>
          </w:tcPr>
          <w:p w14:paraId="2518CD19">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LED22-A64P-T1</w:t>
            </w:r>
          </w:p>
        </w:tc>
        <w:tc>
          <w:tcPr>
            <w:tcW w:w="1258" w:type="dxa"/>
            <w:vAlign w:val="center"/>
          </w:tcPr>
          <w:p w14:paraId="6CE56695">
            <w:pPr>
              <w:pStyle w:val="11"/>
              <w:snapToGrid w:val="0"/>
              <w:spacing w:after="0" w:line="240" w:lineRule="auto"/>
              <w:ind w:left="0" w:leftChars="0" w:right="0" w:rightChars="0" w:firstLine="0" w:firstLineChars="0"/>
              <w:jc w:val="center"/>
              <w:rPr>
                <w:rFonts w:hint="default" w:ascii="宋体" w:hAnsi="宋体" w:eastAsia="宋体" w:cs="宋体"/>
                <w:color w:val="auto"/>
                <w:sz w:val="22"/>
                <w:szCs w:val="24"/>
                <w:highlight w:val="none"/>
                <w:vertAlign w:val="baseline"/>
                <w:lang w:val="en-US" w:eastAsia="zh-CN"/>
              </w:rPr>
            </w:pPr>
            <w:r>
              <w:rPr>
                <w:rFonts w:hint="eastAsia" w:ascii="宋体" w:eastAsia="宋体" w:cs="宋体" w:hAnsiTheme="minorEastAsia"/>
                <w:color w:val="000000"/>
                <w:kern w:val="0"/>
                <w:sz w:val="22"/>
                <w:szCs w:val="22"/>
              </w:rPr>
              <w:t>全套硬件</w:t>
            </w:r>
          </w:p>
        </w:tc>
      </w:tr>
      <w:tr w14:paraId="6C70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4E4171CB">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sz w:val="22"/>
                <w:lang w:val="en-US" w:eastAsia="zh-CN"/>
              </w:rPr>
              <w:t>5</w:t>
            </w:r>
          </w:p>
        </w:tc>
        <w:tc>
          <w:tcPr>
            <w:tcW w:w="3890" w:type="dxa"/>
            <w:vAlign w:val="center"/>
          </w:tcPr>
          <w:p w14:paraId="37564F52">
            <w:pPr>
              <w:widowControl/>
              <w:snapToGrid w:val="0"/>
              <w:spacing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自助报到机</w:t>
            </w:r>
          </w:p>
        </w:tc>
        <w:tc>
          <w:tcPr>
            <w:tcW w:w="868" w:type="dxa"/>
            <w:vAlign w:val="center"/>
          </w:tcPr>
          <w:p w14:paraId="55F2C4CE">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1</w:t>
            </w:r>
            <w:r>
              <w:rPr>
                <w:rFonts w:hint="eastAsia" w:ascii="宋体" w:eastAsia="宋体" w:cs="宋体" w:hAnsiTheme="minorEastAsia"/>
                <w:color w:val="000000"/>
                <w:kern w:val="0"/>
                <w:sz w:val="22"/>
                <w:szCs w:val="22"/>
              </w:rPr>
              <w:t>台</w:t>
            </w:r>
          </w:p>
        </w:tc>
        <w:tc>
          <w:tcPr>
            <w:tcW w:w="0" w:type="auto"/>
            <w:vAlign w:val="center"/>
          </w:tcPr>
          <w:p w14:paraId="45FC559C">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LED22-A64P-T2</w:t>
            </w:r>
          </w:p>
        </w:tc>
        <w:tc>
          <w:tcPr>
            <w:tcW w:w="1258" w:type="dxa"/>
            <w:vAlign w:val="center"/>
          </w:tcPr>
          <w:p w14:paraId="653E08EC">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全套硬件</w:t>
            </w:r>
          </w:p>
        </w:tc>
      </w:tr>
      <w:tr w14:paraId="3A67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9" w:type="dxa"/>
            <w:vAlign w:val="center"/>
          </w:tcPr>
          <w:p w14:paraId="0B876D71">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sz w:val="22"/>
                <w:lang w:val="en-US" w:eastAsia="zh-CN"/>
              </w:rPr>
              <w:t>6</w:t>
            </w:r>
          </w:p>
        </w:tc>
        <w:tc>
          <w:tcPr>
            <w:tcW w:w="3890" w:type="dxa"/>
            <w:vAlign w:val="center"/>
          </w:tcPr>
          <w:p w14:paraId="09ACEA5F">
            <w:pPr>
              <w:widowControl/>
              <w:snapToGrid w:val="0"/>
              <w:spacing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播控终端</w:t>
            </w:r>
          </w:p>
        </w:tc>
        <w:tc>
          <w:tcPr>
            <w:tcW w:w="868" w:type="dxa"/>
            <w:vAlign w:val="center"/>
          </w:tcPr>
          <w:p w14:paraId="2E1F6050">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1</w:t>
            </w:r>
            <w:r>
              <w:rPr>
                <w:rFonts w:hint="eastAsia" w:ascii="宋体" w:eastAsia="宋体" w:cs="宋体" w:hAnsiTheme="minorEastAsia"/>
                <w:color w:val="000000"/>
                <w:kern w:val="0"/>
                <w:sz w:val="22"/>
                <w:szCs w:val="22"/>
                <w:lang w:val="en-US" w:eastAsia="zh-CN"/>
              </w:rPr>
              <w:t>8</w:t>
            </w:r>
            <w:r>
              <w:rPr>
                <w:rFonts w:hint="eastAsia" w:ascii="宋体" w:eastAsia="宋体" w:cs="宋体" w:hAnsiTheme="minorEastAsia"/>
                <w:color w:val="000000"/>
                <w:kern w:val="0"/>
                <w:sz w:val="22"/>
                <w:szCs w:val="22"/>
              </w:rPr>
              <w:t>台</w:t>
            </w:r>
          </w:p>
        </w:tc>
        <w:tc>
          <w:tcPr>
            <w:tcW w:w="1646" w:type="dxa"/>
            <w:vAlign w:val="center"/>
          </w:tcPr>
          <w:p w14:paraId="67ECFA43">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lang w:val="en-US" w:eastAsia="zh-CN"/>
              </w:rPr>
              <w:t>H-BOX-H</w:t>
            </w:r>
          </w:p>
        </w:tc>
        <w:tc>
          <w:tcPr>
            <w:tcW w:w="1258" w:type="dxa"/>
            <w:vAlign w:val="center"/>
          </w:tcPr>
          <w:p w14:paraId="6B338C29">
            <w:pPr>
              <w:pStyle w:val="11"/>
              <w:snapToGrid w:val="0"/>
              <w:spacing w:after="0" w:line="240" w:lineRule="auto"/>
              <w:ind w:left="0" w:leftChars="0" w:right="0" w:rightChars="0" w:firstLine="0" w:firstLineChars="0"/>
              <w:jc w:val="center"/>
              <w:rPr>
                <w:rFonts w:hint="eastAsia" w:ascii="宋体" w:hAnsi="宋体" w:eastAsia="宋体" w:cs="宋体"/>
                <w:color w:val="auto"/>
                <w:sz w:val="22"/>
                <w:szCs w:val="24"/>
                <w:highlight w:val="none"/>
                <w:lang w:val="en-US" w:eastAsia="zh-CN"/>
              </w:rPr>
            </w:pPr>
            <w:r>
              <w:rPr>
                <w:rFonts w:hint="eastAsia" w:ascii="宋体" w:eastAsia="宋体" w:cs="宋体" w:hAnsiTheme="minorEastAsia"/>
                <w:color w:val="000000"/>
                <w:kern w:val="0"/>
                <w:sz w:val="22"/>
                <w:szCs w:val="22"/>
              </w:rPr>
              <w:t>全套硬件</w:t>
            </w:r>
          </w:p>
        </w:tc>
      </w:tr>
    </w:tbl>
    <w:p w14:paraId="0FCB9749">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480" w:lineRule="exact"/>
        <w:ind w:left="0" w:leftChars="0" w:right="0" w:rightChars="0"/>
        <w:jc w:val="both"/>
        <w:textAlignment w:val="auto"/>
        <w:rPr>
          <w:rFonts w:hint="eastAsia" w:asciiTheme="minorEastAsia" w:hAnsiTheme="minorEastAsia" w:eastAsiaTheme="minorEastAsia" w:cstheme="minorEastAsia"/>
          <w:b w:val="0"/>
          <w:bCs w:val="0"/>
          <w:sz w:val="24"/>
          <w:szCs w:val="24"/>
          <w:lang w:val="en-US" w:eastAsia="zh-CN"/>
        </w:rPr>
      </w:pPr>
    </w:p>
    <w:p w14:paraId="20F7B84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（四）</w:t>
      </w:r>
      <w:r>
        <w:rPr>
          <w:rFonts w:hint="default" w:asciiTheme="minorEastAsia" w:hAnsiTheme="minorEastAsia" w:eastAsiaTheme="minorEastAsia" w:cstheme="minorEastAsia"/>
          <w:b/>
          <w:bCs/>
          <w:sz w:val="24"/>
          <w:szCs w:val="24"/>
          <w:lang w:val="en-US" w:eastAsia="zh-CN"/>
        </w:rPr>
        <w:t>维保</w:t>
      </w:r>
      <w:r>
        <w:rPr>
          <w:rFonts w:hint="eastAsia" w:asciiTheme="minorEastAsia" w:hAnsiTheme="minorEastAsia" w:eastAsiaTheme="minorEastAsia" w:cstheme="minorEastAsia"/>
          <w:b/>
          <w:bCs/>
          <w:sz w:val="24"/>
          <w:szCs w:val="24"/>
          <w:lang w:val="en-US" w:eastAsia="zh-CN"/>
        </w:rPr>
        <w:t>服务目标</w:t>
      </w:r>
    </w:p>
    <w:p w14:paraId="64C73748">
      <w:pPr>
        <w:numPr>
          <w:ilvl w:val="0"/>
          <w:numId w:val="1"/>
        </w:numPr>
        <w:spacing w:after="120" w:line="360" w:lineRule="auto"/>
        <w:ind w:left="0" w:firstLine="480" w:firstLineChars="200"/>
        <w:jc w:val="both"/>
        <w:rPr>
          <w:rFonts w:eastAsia="宋体" w:cs="宋体" w:asciiTheme="minorEastAsia" w:hAnsiTheme="minorEastAsia"/>
          <w:b w:val="0"/>
          <w:i w:val="0"/>
          <w:strike w:val="0"/>
          <w:color w:val="auto"/>
          <w:sz w:val="24"/>
          <w:u w:val="none"/>
        </w:rPr>
      </w:pPr>
      <w:r>
        <w:rPr>
          <w:rFonts w:hint="eastAsia" w:eastAsia="宋体" w:cs="宋体" w:asciiTheme="minorEastAsia" w:hAnsiTheme="minorEastAsia"/>
          <w:b w:val="0"/>
          <w:i w:val="0"/>
          <w:strike w:val="0"/>
          <w:color w:val="auto"/>
          <w:sz w:val="24"/>
          <w:u w:val="none"/>
        </w:rPr>
        <w:t>保证系统软件安全稳定的运行，核心业务系统可用性不低于99%；</w:t>
      </w:r>
    </w:p>
    <w:p w14:paraId="0208AF43">
      <w:pPr>
        <w:numPr>
          <w:ilvl w:val="0"/>
          <w:numId w:val="1"/>
        </w:numPr>
        <w:spacing w:after="120" w:line="360" w:lineRule="auto"/>
        <w:ind w:left="0" w:leftChars="0" w:firstLine="480" w:firstLineChars="200"/>
        <w:jc w:val="both"/>
        <w:rPr>
          <w:rFonts w:eastAsia="宋体" w:cs="宋体" w:asciiTheme="minorEastAsia" w:hAnsiTheme="minorEastAsia"/>
          <w:b w:val="0"/>
          <w:i w:val="0"/>
          <w:strike w:val="0"/>
          <w:color w:val="auto"/>
          <w:sz w:val="24"/>
          <w:u w:val="none"/>
        </w:rPr>
      </w:pPr>
      <w:r>
        <w:rPr>
          <w:rFonts w:hint="eastAsia" w:eastAsia="宋体" w:cs="宋体" w:asciiTheme="minorEastAsia" w:hAnsiTheme="minorEastAsia"/>
          <w:b w:val="0"/>
          <w:i w:val="0"/>
          <w:strike w:val="0"/>
          <w:color w:val="auto"/>
          <w:sz w:val="24"/>
          <w:u w:val="none"/>
        </w:rPr>
        <w:t>保证分诊导医系统配套硬件及模块稳定的运行，设备开机正常运行率不低于99%；</w:t>
      </w:r>
    </w:p>
    <w:p w14:paraId="6B60460A">
      <w:pPr>
        <w:numPr>
          <w:ilvl w:val="0"/>
          <w:numId w:val="1"/>
        </w:numPr>
        <w:spacing w:after="120" w:line="360" w:lineRule="auto"/>
        <w:ind w:left="0" w:leftChars="0" w:firstLine="480" w:firstLineChars="200"/>
        <w:jc w:val="both"/>
        <w:rPr>
          <w:rFonts w:eastAsia="宋体" w:cs="宋体" w:asciiTheme="minorEastAsia" w:hAnsiTheme="minorEastAsia"/>
          <w:b w:val="0"/>
          <w:i w:val="0"/>
          <w:strike w:val="0"/>
          <w:color w:val="auto"/>
          <w:sz w:val="24"/>
          <w:u w:val="none"/>
        </w:rPr>
      </w:pPr>
      <w:r>
        <w:rPr>
          <w:rFonts w:hint="eastAsia" w:eastAsia="宋体" w:cs="宋体" w:asciiTheme="minorEastAsia" w:hAnsiTheme="minorEastAsia"/>
          <w:b w:val="0"/>
          <w:i w:val="0"/>
          <w:strike w:val="0"/>
          <w:color w:val="auto"/>
          <w:sz w:val="24"/>
          <w:u w:val="none"/>
        </w:rPr>
        <w:t>故障报修响应率100%，修复率100%；</w:t>
      </w:r>
    </w:p>
    <w:p w14:paraId="0FE9218E">
      <w:pPr>
        <w:numPr>
          <w:ilvl w:val="0"/>
          <w:numId w:val="1"/>
        </w:numPr>
        <w:spacing w:after="120" w:line="360" w:lineRule="auto"/>
        <w:ind w:left="0" w:leftChars="0" w:firstLine="480" w:firstLineChars="200"/>
        <w:jc w:val="both"/>
        <w:rPr>
          <w:rFonts w:eastAsia="宋体" w:cs="宋体" w:asciiTheme="minorEastAsia" w:hAnsiTheme="minorEastAsia"/>
          <w:b w:val="0"/>
          <w:i w:val="0"/>
          <w:strike w:val="0"/>
          <w:color w:val="auto"/>
          <w:sz w:val="24"/>
          <w:u w:val="none"/>
        </w:rPr>
      </w:pPr>
      <w:r>
        <w:rPr>
          <w:rFonts w:hint="eastAsia" w:eastAsia="宋体" w:cs="宋体" w:asciiTheme="minorEastAsia" w:hAnsiTheme="minorEastAsia"/>
          <w:b w:val="0"/>
          <w:i w:val="0"/>
          <w:strike w:val="0"/>
          <w:color w:val="auto"/>
          <w:sz w:val="24"/>
          <w:u w:val="none"/>
        </w:rPr>
        <w:t>巡检完成率100%；</w:t>
      </w:r>
    </w:p>
    <w:p w14:paraId="6480CA03">
      <w:pPr>
        <w:numPr>
          <w:ilvl w:val="0"/>
          <w:numId w:val="1"/>
        </w:numPr>
        <w:spacing w:after="120" w:line="360" w:lineRule="auto"/>
        <w:ind w:left="0" w:leftChars="0" w:firstLine="480" w:firstLineChars="200"/>
        <w:jc w:val="both"/>
        <w:rPr>
          <w:rFonts w:eastAsia="宋体" w:cs="宋体" w:asciiTheme="minorEastAsia" w:hAnsiTheme="minorEastAsia"/>
          <w:b w:val="0"/>
          <w:i w:val="0"/>
          <w:strike w:val="0"/>
          <w:color w:val="auto"/>
          <w:sz w:val="24"/>
          <w:u w:val="none"/>
        </w:rPr>
      </w:pPr>
      <w:r>
        <w:rPr>
          <w:rFonts w:hint="eastAsia" w:eastAsia="宋体" w:cs="宋体" w:asciiTheme="minorEastAsia" w:hAnsiTheme="minorEastAsia"/>
          <w:b w:val="0"/>
          <w:i w:val="0"/>
          <w:strike w:val="0"/>
          <w:color w:val="auto"/>
          <w:sz w:val="24"/>
          <w:u w:val="none"/>
        </w:rPr>
        <w:t>缩短故障平均修复时间，提升患者和医护人员满意度，杜绝因维保不及时导致患者投诉、就诊秩序混乱等事件。</w:t>
      </w:r>
    </w:p>
    <w:p w14:paraId="060D4A09">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2" w:firstLineChars="200"/>
        <w:jc w:val="center"/>
        <w:textAlignment w:val="auto"/>
        <w:rPr>
          <w:rFonts w:hint="eastAsia" w:asciiTheme="minorEastAsia" w:hAnsiTheme="minorEastAsia" w:eastAsiaTheme="minorEastAsia" w:cstheme="minorEastAsia"/>
          <w:b/>
          <w:bCs/>
          <w:sz w:val="24"/>
          <w:szCs w:val="24"/>
          <w:lang w:val="en-US" w:eastAsia="zh-CN"/>
        </w:rPr>
      </w:pPr>
    </w:p>
    <w:p w14:paraId="1E6B706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firstLine="482" w:firstLineChars="200"/>
        <w:jc w:val="center"/>
        <w:textAlignment w:val="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（五）</w:t>
      </w:r>
      <w:bookmarkStart w:id="0" w:name="OLE_LINK4"/>
      <w:r>
        <w:rPr>
          <w:rFonts w:hint="default" w:asciiTheme="minorEastAsia" w:hAnsiTheme="minorEastAsia" w:eastAsiaTheme="minorEastAsia" w:cstheme="minorEastAsia"/>
          <w:b/>
          <w:bCs/>
          <w:sz w:val="24"/>
          <w:szCs w:val="24"/>
          <w:lang w:val="en-US" w:eastAsia="zh-CN"/>
        </w:rPr>
        <w:t>维保</w:t>
      </w:r>
      <w:r>
        <w:rPr>
          <w:rFonts w:hint="eastAsia" w:asciiTheme="minorEastAsia" w:hAnsiTheme="minorEastAsia" w:eastAsiaTheme="minorEastAsia" w:cstheme="minorEastAsia"/>
          <w:b/>
          <w:bCs/>
          <w:sz w:val="24"/>
          <w:szCs w:val="24"/>
          <w:lang w:val="en-US" w:eastAsia="zh-CN"/>
        </w:rPr>
        <w:t>服务内容</w:t>
      </w:r>
    </w:p>
    <w:p w14:paraId="2DB0FBD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成交供应商需提供全流程、全包式、预防性+应急性一体化维保服务，服务内容包含但不限于以下全部事项：</w:t>
      </w:r>
    </w:p>
    <w:p w14:paraId="1A35567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1、硬件全套维保</w:t>
      </w:r>
    </w:p>
    <w:p w14:paraId="79BD565E">
      <w:pPr>
        <w:spacing w:line="360" w:lineRule="auto"/>
        <w:ind w:firstLine="480" w:firstLineChars="200"/>
        <w:rPr>
          <w:rFonts w:cs="宋体" w:asciiTheme="minorEastAsia" w:hAnsiTheme="minorEastAsia"/>
          <w:sz w:val="24"/>
        </w:rPr>
      </w:pPr>
      <w:r>
        <w:rPr>
          <w:rFonts w:hint="eastAsia" w:cs="宋体" w:asciiTheme="minorEastAsia" w:hAnsiTheme="minorEastAsia"/>
          <w:sz w:val="24"/>
        </w:rPr>
        <w:t>负责所有分诊导医系统硬件设备的免费维修、故障排查、损坏配件免费更换，涵盖：22寸网络液晶一体机、自助报到机、播控终端、功放、吸顶音响等全部硬件部件。</w:t>
      </w:r>
    </w:p>
    <w:p w14:paraId="57CFF5F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2、软件与系统运维</w:t>
      </w:r>
    </w:p>
    <w:bookmarkEnd w:id="0"/>
    <w:p w14:paraId="78C9B9D5">
      <w:pPr>
        <w:spacing w:line="360" w:lineRule="auto"/>
        <w:ind w:firstLine="480" w:firstLineChars="200"/>
        <w:rPr>
          <w:rFonts w:cs="宋体" w:asciiTheme="minorEastAsia" w:hAnsiTheme="minorEastAsia"/>
          <w:sz w:val="24"/>
        </w:rPr>
      </w:pPr>
      <w:r>
        <w:rPr>
          <w:rFonts w:hint="eastAsia" w:cs="宋体" w:asciiTheme="minorEastAsia" w:hAnsiTheme="minorEastAsia"/>
          <w:sz w:val="24"/>
          <w:lang w:val="en-US" w:eastAsia="zh-CN"/>
        </w:rPr>
        <w:t>2.</w:t>
      </w:r>
      <w:r>
        <w:rPr>
          <w:rFonts w:hint="eastAsia" w:cs="宋体" w:asciiTheme="minorEastAsia" w:hAnsiTheme="minorEastAsia"/>
          <w:sz w:val="24"/>
        </w:rPr>
        <w:t>1.负责分诊导医系统软件、操作系统、叫号程序、语音播报程序等日常维护、故障维修、异常报错等问题处理；</w:t>
      </w:r>
    </w:p>
    <w:p w14:paraId="57C92235">
      <w:pPr>
        <w:spacing w:line="360" w:lineRule="auto"/>
        <w:ind w:firstLine="480" w:firstLineChars="200"/>
        <w:rPr>
          <w:rFonts w:cs="宋体" w:asciiTheme="minorEastAsia" w:hAnsiTheme="minorEastAsia"/>
          <w:sz w:val="24"/>
        </w:rPr>
      </w:pPr>
      <w:r>
        <w:rPr>
          <w:rFonts w:hint="eastAsia" w:cs="宋体" w:asciiTheme="minorEastAsia" w:hAnsiTheme="minorEastAsia"/>
          <w:sz w:val="24"/>
          <w:lang w:val="en-US" w:eastAsia="zh-CN"/>
        </w:rPr>
        <w:t>2.</w:t>
      </w:r>
      <w:r>
        <w:rPr>
          <w:rFonts w:hint="eastAsia" w:cs="宋体" w:asciiTheme="minorEastAsia" w:hAnsiTheme="minorEastAsia"/>
          <w:sz w:val="24"/>
        </w:rPr>
        <w:t>2.配合医院完成系统补丁更新、漏洞修复等，杜绝病毒、程序闪退等问题；</w:t>
      </w:r>
    </w:p>
    <w:p w14:paraId="79692ACD">
      <w:pPr>
        <w:spacing w:line="360" w:lineRule="auto"/>
        <w:ind w:firstLine="480" w:firstLineChars="200"/>
        <w:rPr>
          <w:rFonts w:cs="宋体" w:asciiTheme="minorEastAsia" w:hAnsiTheme="minorEastAsia"/>
          <w:sz w:val="24"/>
        </w:rPr>
      </w:pPr>
      <w:r>
        <w:rPr>
          <w:rFonts w:hint="eastAsia" w:cs="宋体" w:asciiTheme="minorEastAsia" w:hAnsiTheme="minorEastAsia"/>
          <w:sz w:val="24"/>
          <w:lang w:val="en-US" w:eastAsia="zh-CN"/>
        </w:rPr>
        <w:t>2.</w:t>
      </w:r>
      <w:r>
        <w:rPr>
          <w:rFonts w:hint="eastAsia" w:cs="宋体" w:asciiTheme="minorEastAsia" w:hAnsiTheme="minorEastAsia"/>
          <w:sz w:val="24"/>
        </w:rPr>
        <w:t>3.保障分诊导医系统数据实时同步、稳定，及时处理叫号卡顿、语音无声、显示异常、报到失败、数据同步失败、过号及回叫异常等各类问题。</w:t>
      </w:r>
    </w:p>
    <w:p w14:paraId="06303DB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3、定期巡检</w:t>
      </w:r>
    </w:p>
    <w:p w14:paraId="125A2859">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highlight w:val="none"/>
          <w:lang w:val="en-US" w:eastAsia="zh-CN"/>
        </w:rPr>
        <w:t>每季度不少于1次现场巡检</w:t>
      </w:r>
      <w:bookmarkStart w:id="1" w:name="OLE_LINK2"/>
      <w:r>
        <w:rPr>
          <w:rFonts w:hint="eastAsia" w:ascii="宋体" w:hAnsi="宋体" w:eastAsia="宋体" w:cs="宋体"/>
          <w:color w:val="auto"/>
          <w:sz w:val="24"/>
          <w:szCs w:val="24"/>
          <w:highlight w:val="none"/>
          <w:lang w:val="en-US" w:eastAsia="zh-CN"/>
        </w:rPr>
        <w:t>：</w:t>
      </w:r>
      <w:r>
        <w:rPr>
          <w:rFonts w:hint="eastAsia" w:cs="宋体" w:asciiTheme="minorEastAsia" w:hAnsiTheme="minorEastAsia"/>
          <w:sz w:val="24"/>
        </w:rPr>
        <w:t>分诊导医硬件排查、叫号及语音功能检测、系统运行状态评估、安全隐患排查等，并出具巡检报告；</w:t>
      </w:r>
    </w:p>
    <w:p w14:paraId="0AED0EB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highlight w:val="none"/>
          <w:lang w:val="en-US" w:eastAsia="zh-CN"/>
        </w:rPr>
        <w:t>重大节日前置巡检：遇五一、国庆、春节等国家法定长假及医院重大活动及评审，须于节前3个工作日内完成全覆盖专项巡检：巡检内容同上。</w:t>
      </w:r>
    </w:p>
    <w:p w14:paraId="25E40F0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4、</w:t>
      </w:r>
      <w:r>
        <w:rPr>
          <w:rFonts w:hint="eastAsia" w:ascii="宋体" w:hAnsi="宋体" w:eastAsia="宋体" w:cs="宋体"/>
          <w:b/>
          <w:bCs/>
          <w:color w:val="auto"/>
          <w:sz w:val="24"/>
          <w:szCs w:val="24"/>
          <w:highlight w:val="none"/>
          <w:lang w:val="en-US" w:eastAsia="zh-CN"/>
        </w:rPr>
        <w:t>配件保障服务</w:t>
      </w:r>
    </w:p>
    <w:p w14:paraId="68B51B1F">
      <w:pPr>
        <w:spacing w:line="360" w:lineRule="auto"/>
        <w:ind w:firstLine="480" w:firstLineChars="200"/>
        <w:rPr>
          <w:rFonts w:asciiTheme="minorEastAsia" w:hAnsiTheme="minorEastAsia"/>
        </w:rPr>
      </w:pPr>
      <w:r>
        <w:rPr>
          <w:rFonts w:hint="eastAsia" w:cs="宋体" w:asciiTheme="minorEastAsia" w:hAnsiTheme="minorEastAsia"/>
          <w:sz w:val="24"/>
        </w:rPr>
        <w:t>需要根据目前医院设备的使用情况，储备相应备品备件,保证医院的工作需求，并保证维修过程中更换的配件完全满足原产品性能，使用效果满足工作需要。提供的备品备件性能应同等或高于医院现使用产品的型号。</w:t>
      </w:r>
    </w:p>
    <w:p w14:paraId="0373657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5、</w:t>
      </w:r>
      <w:r>
        <w:rPr>
          <w:rFonts w:hint="eastAsia" w:ascii="宋体" w:hAnsi="宋体" w:eastAsia="宋体" w:cs="宋体"/>
          <w:b/>
          <w:bCs/>
          <w:color w:val="auto"/>
          <w:sz w:val="24"/>
          <w:szCs w:val="24"/>
          <w:highlight w:val="none"/>
          <w:lang w:val="en-US" w:eastAsia="zh-CN"/>
        </w:rPr>
        <w:t>故障应急保障</w:t>
      </w:r>
    </w:p>
    <w:p w14:paraId="0F28C07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建立分级响应机制，实行7*24小时全天候运维保障：</w:t>
      </w:r>
    </w:p>
    <w:bookmarkEnd w:id="1"/>
    <w:p w14:paraId="5700D7F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5.</w:t>
      </w:r>
      <w:r>
        <w:rPr>
          <w:rFonts w:hint="default"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highlight w:val="none"/>
          <w:lang w:val="en-US" w:eastAsia="zh-CN"/>
        </w:rPr>
        <w:t>故障响应时间：紧急故障≤15分钟；重大故障≤2小时；一般故障≤4小时；</w:t>
      </w:r>
    </w:p>
    <w:p w14:paraId="1C0AD48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5.</w:t>
      </w:r>
      <w:r>
        <w:rPr>
          <w:rFonts w:hint="default"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highlight w:val="none"/>
          <w:lang w:val="en-US" w:eastAsia="zh-CN"/>
        </w:rPr>
        <w:t>故障解决时间：紧急故障≤8小时；重大故障≤24小时；一般故障≤3个工作日。</w:t>
      </w:r>
    </w:p>
    <w:p w14:paraId="5C6E703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6、</w:t>
      </w:r>
      <w:r>
        <w:rPr>
          <w:rFonts w:hint="eastAsia" w:ascii="宋体" w:hAnsi="宋体" w:eastAsia="宋体" w:cs="宋体"/>
          <w:b/>
          <w:bCs/>
          <w:color w:val="auto"/>
          <w:sz w:val="24"/>
          <w:szCs w:val="24"/>
          <w:highlight w:val="none"/>
          <w:lang w:val="en-US" w:eastAsia="zh-CN"/>
        </w:rPr>
        <w:t>数据与安全</w:t>
      </w:r>
    </w:p>
    <w:p w14:paraId="284959F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lang w:val="en-US" w:eastAsia="zh-CN" w:bidi="ar-SA"/>
        </w:rPr>
        <w:t>6.</w:t>
      </w:r>
      <w:r>
        <w:rPr>
          <w:rFonts w:hint="default" w:ascii="宋体" w:hAnsi="宋体" w:eastAsia="宋体" w:cs="宋体"/>
          <w:b w:val="0"/>
          <w:bCs w:val="0"/>
          <w:color w:val="auto"/>
          <w:kern w:val="2"/>
          <w:sz w:val="24"/>
          <w:szCs w:val="24"/>
          <w:lang w:val="en-US" w:eastAsia="zh-CN" w:bidi="ar-SA"/>
        </w:rPr>
        <w:t>1.</w:t>
      </w:r>
      <w:r>
        <w:rPr>
          <w:rFonts w:hint="default" w:ascii="宋体" w:hAnsi="宋体" w:eastAsia="宋体" w:cs="宋体"/>
          <w:b w:val="0"/>
          <w:bCs w:val="0"/>
          <w:color w:val="auto"/>
          <w:sz w:val="24"/>
          <w:szCs w:val="24"/>
          <w:highlight w:val="none"/>
          <w:lang w:val="en-US" w:eastAsia="zh-CN"/>
        </w:rPr>
        <w:t>严格遵守</w:t>
      </w:r>
      <w:r>
        <w:rPr>
          <w:rFonts w:hint="eastAsia" w:ascii="宋体" w:hAnsi="宋体" w:eastAsia="宋体" w:cs="宋体"/>
          <w:b w:val="0"/>
          <w:bCs w:val="0"/>
          <w:color w:val="auto"/>
          <w:sz w:val="24"/>
          <w:szCs w:val="24"/>
          <w:highlight w:val="none"/>
          <w:lang w:val="en-US" w:eastAsia="zh-CN"/>
        </w:rPr>
        <w:t>网络安全、</w:t>
      </w:r>
      <w:r>
        <w:rPr>
          <w:rFonts w:hint="default" w:ascii="宋体" w:hAnsi="宋体" w:eastAsia="宋体" w:cs="宋体"/>
          <w:b w:val="0"/>
          <w:bCs w:val="0"/>
          <w:color w:val="auto"/>
          <w:sz w:val="24"/>
          <w:szCs w:val="24"/>
          <w:highlight w:val="none"/>
          <w:lang w:val="en-US" w:eastAsia="zh-CN"/>
        </w:rPr>
        <w:t>数据安全规范</w:t>
      </w:r>
      <w:r>
        <w:rPr>
          <w:rFonts w:hint="eastAsia" w:ascii="宋体" w:hAnsi="宋体" w:eastAsia="宋体" w:cs="宋体"/>
          <w:b w:val="0"/>
          <w:bCs w:val="0"/>
          <w:color w:val="auto"/>
          <w:sz w:val="24"/>
          <w:szCs w:val="24"/>
          <w:highlight w:val="none"/>
          <w:lang w:val="en-US" w:eastAsia="zh-CN"/>
        </w:rPr>
        <w:t>；</w:t>
      </w:r>
    </w:p>
    <w:p w14:paraId="3A46CA9D">
      <w:pPr>
        <w:spacing w:line="360" w:lineRule="auto"/>
        <w:ind w:firstLine="480" w:firstLineChars="200"/>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lang w:val="en-US" w:eastAsia="zh-CN" w:bidi="ar-SA"/>
        </w:rPr>
        <w:t>6.</w:t>
      </w:r>
      <w:r>
        <w:rPr>
          <w:rFonts w:hint="default" w:ascii="宋体" w:hAnsi="宋体" w:eastAsia="宋体" w:cs="宋体"/>
          <w:b w:val="0"/>
          <w:bCs w:val="0"/>
          <w:color w:val="auto"/>
          <w:kern w:val="2"/>
          <w:sz w:val="24"/>
          <w:szCs w:val="24"/>
          <w:lang w:val="en-US" w:eastAsia="zh-CN" w:bidi="ar-SA"/>
        </w:rPr>
        <w:t>2.</w:t>
      </w:r>
      <w:r>
        <w:rPr>
          <w:rFonts w:hint="default" w:ascii="宋体" w:hAnsi="宋体" w:eastAsia="宋体" w:cs="宋体"/>
          <w:b w:val="0"/>
          <w:bCs w:val="0"/>
          <w:color w:val="auto"/>
          <w:sz w:val="24"/>
          <w:szCs w:val="24"/>
          <w:highlight w:val="none"/>
          <w:lang w:val="en-US" w:eastAsia="zh-CN"/>
        </w:rPr>
        <w:t>维修过程中不得留存、</w:t>
      </w:r>
      <w:r>
        <w:rPr>
          <w:rFonts w:cs="宋体" w:asciiTheme="minorEastAsia" w:hAnsiTheme="minorEastAsia"/>
          <w:sz w:val="24"/>
        </w:rPr>
        <w:t>泄露任何患者信息及业务数据。</w:t>
      </w:r>
    </w:p>
    <w:p w14:paraId="27711F5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left="0" w:lef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7、配套增值服务</w:t>
      </w:r>
    </w:p>
    <w:p w14:paraId="023C63D6">
      <w:pPr>
        <w:spacing w:line="360" w:lineRule="auto"/>
        <w:ind w:firstLine="480" w:firstLineChars="200"/>
        <w:rPr>
          <w:rFonts w:cs="宋体" w:asciiTheme="minorEastAsia" w:hAnsiTheme="minorEastAsia"/>
          <w:sz w:val="24"/>
        </w:rPr>
      </w:pPr>
      <w:r>
        <w:rPr>
          <w:rFonts w:hint="eastAsia" w:ascii="宋体" w:hAnsi="宋体" w:eastAsia="宋体" w:cs="宋体"/>
          <w:color w:val="auto"/>
          <w:kern w:val="2"/>
          <w:sz w:val="24"/>
          <w:szCs w:val="24"/>
          <w:lang w:val="en-US" w:eastAsia="zh-CN" w:bidi="ar-SA"/>
        </w:rPr>
        <w:t>7.</w:t>
      </w:r>
      <w:r>
        <w:rPr>
          <w:rFonts w:hint="default" w:ascii="宋体" w:hAnsi="宋体" w:eastAsia="宋体" w:cs="宋体"/>
          <w:color w:val="auto"/>
          <w:kern w:val="2"/>
          <w:sz w:val="24"/>
          <w:szCs w:val="24"/>
          <w:lang w:val="en-US" w:eastAsia="zh-CN" w:bidi="ar-SA"/>
        </w:rPr>
        <w:t>1</w:t>
      </w:r>
      <w:r>
        <w:rPr>
          <w:rFonts w:hint="eastAsia" w:cs="宋体" w:asciiTheme="minorEastAsia" w:hAnsiTheme="minorEastAsia"/>
          <w:sz w:val="24"/>
        </w:rPr>
        <w:t>.免费为医院管理人员、使用人员开展分诊导医系统日常操作、简单故障判断、基础应急处理培训等；</w:t>
      </w:r>
    </w:p>
    <w:p w14:paraId="164C8FD9">
      <w:pPr>
        <w:spacing w:line="360" w:lineRule="auto"/>
        <w:ind w:firstLine="480" w:firstLineChars="200"/>
        <w:rPr>
          <w:rFonts w:cs="宋体" w:asciiTheme="minorEastAsia" w:hAnsiTheme="minorEastAsia"/>
          <w:sz w:val="24"/>
        </w:rPr>
      </w:pPr>
      <w:r>
        <w:rPr>
          <w:rFonts w:hint="eastAsia" w:ascii="宋体" w:hAnsi="宋体" w:eastAsia="宋体" w:cs="宋体"/>
          <w:color w:val="auto"/>
          <w:kern w:val="2"/>
          <w:sz w:val="24"/>
          <w:szCs w:val="24"/>
          <w:lang w:val="en-US" w:eastAsia="zh-CN" w:bidi="ar-SA"/>
        </w:rPr>
        <w:t>7.</w:t>
      </w:r>
      <w:r>
        <w:rPr>
          <w:rFonts w:hint="default"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highlight w:val="none"/>
          <w:lang w:val="en-US" w:eastAsia="zh-CN"/>
        </w:rPr>
        <w:t>如遇医院重大等级评审，</w:t>
      </w:r>
      <w:r>
        <w:rPr>
          <w:rFonts w:hint="eastAsia" w:cs="宋体" w:asciiTheme="minorEastAsia" w:hAnsiTheme="minorEastAsia"/>
          <w:sz w:val="24"/>
        </w:rPr>
        <w:t>凡涉及到分诊导医系统检查的，须安排专人提供驻场保障。</w:t>
      </w:r>
    </w:p>
    <w:p w14:paraId="07DB8EC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宋体" w:hAnsi="宋体" w:eastAsia="宋体" w:cs="宋体"/>
          <w:color w:val="auto"/>
          <w:kern w:val="2"/>
          <w:sz w:val="24"/>
          <w:szCs w:val="24"/>
          <w:lang w:val="en-US" w:eastAsia="zh-CN" w:bidi="ar-SA"/>
        </w:rPr>
        <w:t>7.3</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highlight w:val="none"/>
          <w:lang w:val="en-US" w:eastAsia="zh-CN"/>
        </w:rPr>
        <w:t>免费对医院新增的业务需求进行专业综合评审并给出建议。</w:t>
      </w:r>
    </w:p>
    <w:p w14:paraId="4B3C186C">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p>
    <w:p w14:paraId="0A9E71B6">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（六）商务要求</w:t>
      </w:r>
    </w:p>
    <w:p w14:paraId="10032D58">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val="zh-CN" w:eastAsia="zh-CN"/>
        </w:rPr>
        <w:t>服务规范：有国家标准的执行国家标准；无国家标准的执行行业标准；无行业标准的执行地方标准；无地方标准的执行企业标准。</w:t>
      </w:r>
    </w:p>
    <w:p w14:paraId="0D612E33">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2、技术支持</w:t>
      </w:r>
    </w:p>
    <w:p w14:paraId="5A84BB98">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 成交供应商应向采购人提供全方位及时而有效的技术支持和服务。</w:t>
      </w:r>
    </w:p>
    <w:p w14:paraId="416D1275">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 如成交供应商发生兼并、重组，采购人本项目的建设、维护等相关工作必须由新组建的公司按磋商文件及响应文件承担相应的义务。</w:t>
      </w:r>
    </w:p>
    <w:p w14:paraId="438BFB1C">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3、成交供应商需设有专门的服务队伍，建立完备的响应机制，负责解答采购人在使用中遇到的问题，及时提出解决问题的建议和操作方法。</w:t>
      </w:r>
    </w:p>
    <w:p w14:paraId="2DF086B2">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 响应文件中为本项目配备的人员力量，在合同履行期间，成交供应商须按采购人要求到达本项目现场提供相应服务，否则采购人有权解除采购合同。</w:t>
      </w:r>
    </w:p>
    <w:p w14:paraId="4D29BFB4">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3.2、服务响应时间：成交供应商需设有专门的服务队伍，建立完备的响应机制。如出现服务问题，电话响应无法解决，成交供应商必须在接到电话 24 小时内到达现场并解决问题。</w:t>
      </w:r>
    </w:p>
    <w:p w14:paraId="02B555A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4、服务期限：</w:t>
      </w:r>
      <w:r>
        <w:rPr>
          <w:rFonts w:hint="eastAsia" w:asciiTheme="minorEastAsia" w:hAnsiTheme="minorEastAsia" w:eastAsiaTheme="minorEastAsia" w:cstheme="minorEastAsia"/>
          <w:b/>
          <w:bCs/>
          <w:kern w:val="2"/>
          <w:sz w:val="24"/>
          <w:szCs w:val="24"/>
          <w:lang w:val="en-US" w:eastAsia="zh-CN" w:bidi="ar-SA"/>
        </w:rPr>
        <w:t>服务期三年。采取1+1+1模式，首次签订后，第二年对上一年度合同执行进行考核，考核合格可续签当年合同，考核不合格合同终止。</w:t>
      </w:r>
    </w:p>
    <w:p w14:paraId="290C9E71">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lang w:val="en-US" w:eastAsia="zh-CN"/>
        </w:rPr>
      </w:pPr>
      <w:r>
        <w:rPr>
          <w:rFonts w:hint="eastAsia" w:asciiTheme="minorEastAsia" w:hAnsiTheme="minorEastAsia" w:eastAsiaTheme="minorEastAsia" w:cstheme="minorEastAsia"/>
          <w:sz w:val="24"/>
          <w:szCs w:val="24"/>
          <w:lang w:val="en-US" w:eastAsia="zh-CN"/>
        </w:rPr>
        <w:t>5、服务地点：马鞍山市中医院（采购人指定地点）。</w:t>
      </w:r>
    </w:p>
    <w:p w14:paraId="013B648E">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2" w:firstLineChars="200"/>
        <w:jc w:val="both"/>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sz w:val="24"/>
          <w:szCs w:val="24"/>
          <w:lang w:val="en-US" w:eastAsia="zh-CN"/>
        </w:rPr>
        <w:t>6、进场时间：自</w:t>
      </w:r>
      <w:r>
        <w:rPr>
          <w:rFonts w:hint="eastAsia" w:asciiTheme="minorEastAsia" w:hAnsiTheme="minorEastAsia" w:eastAsiaTheme="minorEastAsia" w:cstheme="minorEastAsia"/>
          <w:b/>
          <w:bCs/>
          <w:kern w:val="2"/>
          <w:sz w:val="24"/>
          <w:szCs w:val="24"/>
          <w:lang w:val="en-US" w:eastAsia="zh-CN" w:bidi="ar-SA"/>
        </w:rPr>
        <w:t>合同签订之日起。</w:t>
      </w:r>
    </w:p>
    <w:p w14:paraId="314D3B1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7、付款方式：合同款实行每年结算，在成交供应商切实履行了全部合同义务，经院方考核后于90日内支付相应的合同款。</w:t>
      </w:r>
    </w:p>
    <w:p w14:paraId="60E9345F">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val="zh-CN" w:eastAsia="zh-CN"/>
        </w:rPr>
        <w:t>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4836960A">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eastAsia="zh-CN"/>
        </w:rPr>
        <w:t>、如货物属于国家强制性目录范围内的，则必须符合国家相关强制性要求。</w:t>
      </w:r>
    </w:p>
    <w:p w14:paraId="29A2253A">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、验收：</w:t>
      </w:r>
    </w:p>
    <w:p w14:paraId="4FE3E0F7">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1采购人和相关部门按照磋商文件和招标响应文件进行验收。磋商文件没有规定和招标响应文件没有相应承诺的，按照下列原则进行验收：有国家标准的按照国家标准验收，没有国家标准的按行业标准验收，无行业标准的按地方或企业标准验收，成交供应商予以配合。涉及需要由其他相关行业主管部门验收的项目，采购人须约请相关部门和专家参加项目验收。</w:t>
      </w:r>
    </w:p>
    <w:p w14:paraId="34E49E5B">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lang w:val="zh-CN" w:eastAsia="zh-CN"/>
        </w:rPr>
        <w:t>.2、采购人及相关行业主管部门对项目进行全面的验收，对验收中暴露出来的问题，成交供应商应及时进行整改，整改后仍达不到验收标准的，采购人有权取消成交供应商资格。</w:t>
      </w:r>
    </w:p>
    <w:p w14:paraId="651AF6EF">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lang w:val="zh-CN" w:eastAsia="zh-CN"/>
        </w:rPr>
        <w:t>本项目总</w:t>
      </w:r>
      <w:r>
        <w:rPr>
          <w:rFonts w:hint="eastAsia" w:asciiTheme="minorEastAsia" w:hAnsiTheme="minorEastAsia" w:eastAsiaTheme="minorEastAsia" w:cstheme="minorEastAsia"/>
          <w:sz w:val="24"/>
          <w:szCs w:val="24"/>
          <w:lang w:val="en-US" w:eastAsia="zh-CN"/>
        </w:rPr>
        <w:t>报</w:t>
      </w:r>
      <w:r>
        <w:rPr>
          <w:rFonts w:hint="eastAsia" w:asciiTheme="minorEastAsia" w:hAnsiTheme="minorEastAsia" w:eastAsiaTheme="minorEastAsia" w:cstheme="minorEastAsia"/>
          <w:sz w:val="24"/>
          <w:szCs w:val="24"/>
          <w:lang w:val="zh-CN" w:eastAsia="zh-CN"/>
        </w:rPr>
        <w:t>价包含了交付使用前的全部费用及所有价内价外税金及合理利润等，</w:t>
      </w:r>
      <w:r>
        <w:rPr>
          <w:rFonts w:hint="eastAsia" w:asciiTheme="minorEastAsia" w:hAnsiTheme="minorEastAsia" w:eastAsiaTheme="minorEastAsia" w:cstheme="minorEastAsia"/>
          <w:sz w:val="24"/>
          <w:szCs w:val="24"/>
          <w:lang w:val="en-US" w:eastAsia="zh-CN"/>
        </w:rPr>
        <w:t>不再产生任何二次费用。</w:t>
      </w:r>
    </w:p>
    <w:p w14:paraId="2ED14146">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br w:type="page"/>
      </w:r>
    </w:p>
    <w:p w14:paraId="7C5BC76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420" w:firstLineChars="0"/>
        <w:textAlignment w:val="auto"/>
        <w:rPr>
          <w:rStyle w:val="18"/>
          <w:rFonts w:hint="eastAsia" w:ascii="Times New Roman" w:hAnsi="Times New Roman" w:eastAsia="宋体" w:cs="Times New Roman"/>
          <w:color w:val="auto"/>
          <w:sz w:val="24"/>
          <w:szCs w:val="24"/>
          <w:highlight w:val="none"/>
          <w:lang w:val="en-US" w:eastAsia="zh-CN"/>
        </w:rPr>
      </w:pPr>
      <w:r>
        <w:rPr>
          <w:rStyle w:val="18"/>
          <w:rFonts w:hint="eastAsia" w:ascii="Times New Roman" w:hAnsi="Times New Roman" w:eastAsia="宋体" w:cs="Times New Roman"/>
          <w:color w:val="auto"/>
          <w:kern w:val="0"/>
          <w:sz w:val="32"/>
          <w:szCs w:val="24"/>
          <w:highlight w:val="none"/>
          <w:lang w:val="en-US" w:eastAsia="zh-CN" w:bidi="ar-SA"/>
        </w:rPr>
        <w:t>附件：  考核内容（由门诊部和信息科每季度考核）</w:t>
      </w:r>
    </w:p>
    <w:tbl>
      <w:tblPr>
        <w:tblStyle w:val="1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859"/>
        <w:gridCol w:w="3869"/>
        <w:gridCol w:w="2212"/>
      </w:tblGrid>
      <w:tr w14:paraId="70F5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579" w:type="dxa"/>
            <w:vAlign w:val="center"/>
          </w:tcPr>
          <w:p w14:paraId="1594138F">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维度</w:t>
            </w:r>
          </w:p>
        </w:tc>
        <w:tc>
          <w:tcPr>
            <w:tcW w:w="859" w:type="dxa"/>
            <w:vAlign w:val="center"/>
          </w:tcPr>
          <w:p w14:paraId="5041085B">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分值</w:t>
            </w:r>
          </w:p>
        </w:tc>
        <w:tc>
          <w:tcPr>
            <w:tcW w:w="3869" w:type="dxa"/>
            <w:vAlign w:val="center"/>
          </w:tcPr>
          <w:p w14:paraId="5C830D9C">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内容</w:t>
            </w:r>
          </w:p>
        </w:tc>
        <w:tc>
          <w:tcPr>
            <w:tcW w:w="2212" w:type="dxa"/>
            <w:vAlign w:val="center"/>
          </w:tcPr>
          <w:p w14:paraId="46924576">
            <w:pPr>
              <w:pStyle w:val="11"/>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评分要点</w:t>
            </w:r>
          </w:p>
        </w:tc>
      </w:tr>
      <w:tr w14:paraId="1E5F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9" w:type="dxa"/>
            <w:vAlign w:val="center"/>
          </w:tcPr>
          <w:p w14:paraId="44EFAADD">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设备可用率</w:t>
            </w:r>
          </w:p>
        </w:tc>
        <w:tc>
          <w:tcPr>
            <w:tcW w:w="859" w:type="dxa"/>
            <w:vAlign w:val="center"/>
          </w:tcPr>
          <w:p w14:paraId="0477FDD2">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50</w:t>
            </w:r>
          </w:p>
        </w:tc>
        <w:tc>
          <w:tcPr>
            <w:tcW w:w="3869" w:type="dxa"/>
            <w:vAlign w:val="center"/>
          </w:tcPr>
          <w:p w14:paraId="2CB849E3">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lang w:val="en-US" w:eastAsia="zh-CN"/>
              </w:rPr>
            </w:pPr>
            <w:r>
              <w:rPr>
                <w:rFonts w:ascii="宋体" w:eastAsia="宋体" w:hAnsiTheme="minorEastAsia"/>
                <w:sz w:val="24"/>
              </w:rPr>
              <w:t>设备完好率/开机率≥</w:t>
            </w:r>
            <w:r>
              <w:rPr>
                <w:rFonts w:hint="eastAsia" w:ascii="宋体" w:eastAsia="宋体" w:hAnsiTheme="minorEastAsia"/>
                <w:sz w:val="24"/>
              </w:rPr>
              <w:t>99%</w:t>
            </w:r>
          </w:p>
        </w:tc>
        <w:tc>
          <w:tcPr>
            <w:tcW w:w="2212" w:type="dxa"/>
            <w:vAlign w:val="center"/>
          </w:tcPr>
          <w:p w14:paraId="4D992C06">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vertAlign w:val="baseline"/>
                <w:lang w:val="en-US" w:eastAsia="zh-CN"/>
              </w:rPr>
            </w:pPr>
            <w:r>
              <w:rPr>
                <w:rFonts w:hint="eastAsia" w:ascii="宋体" w:eastAsia="宋体" w:hAnsiTheme="minorEastAsia"/>
                <w:sz w:val="24"/>
              </w:rPr>
              <w:t>99%得满，每降1%扣5分，低于95%本项0分</w:t>
            </w:r>
          </w:p>
        </w:tc>
      </w:tr>
      <w:tr w14:paraId="2A2C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9" w:type="dxa"/>
            <w:vAlign w:val="center"/>
          </w:tcPr>
          <w:p w14:paraId="1BCFA814">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响应与修复</w:t>
            </w:r>
          </w:p>
        </w:tc>
        <w:tc>
          <w:tcPr>
            <w:tcW w:w="859" w:type="dxa"/>
            <w:vAlign w:val="center"/>
          </w:tcPr>
          <w:p w14:paraId="0F313E3C">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30</w:t>
            </w:r>
          </w:p>
        </w:tc>
        <w:tc>
          <w:tcPr>
            <w:tcW w:w="3869" w:type="dxa"/>
            <w:vAlign w:val="center"/>
          </w:tcPr>
          <w:p w14:paraId="6ECDB62D">
            <w:pPr>
              <w:snapToGrid w:val="0"/>
              <w:spacing w:line="240" w:lineRule="auto"/>
              <w:ind w:left="0" w:leftChars="0" w:right="0" w:rightChars="0" w:firstLine="0" w:firstLineChars="0"/>
              <w:jc w:val="left"/>
              <w:rPr>
                <w:rFonts w:hint="eastAsia" w:ascii="宋体" w:eastAsia="宋体" w:hAnsiTheme="minorEastAsia"/>
                <w:sz w:val="24"/>
              </w:rPr>
            </w:pPr>
            <w:r>
              <w:rPr>
                <w:rFonts w:ascii="宋体" w:eastAsia="宋体" w:hAnsiTheme="minorEastAsia"/>
                <w:sz w:val="24"/>
              </w:rPr>
              <w:t>平均故障响应</w:t>
            </w:r>
            <w:r>
              <w:rPr>
                <w:rFonts w:hint="eastAsia" w:ascii="宋体" w:eastAsia="宋体" w:hAnsiTheme="minorEastAsia"/>
                <w:sz w:val="24"/>
              </w:rPr>
              <w:t>及修复</w:t>
            </w:r>
            <w:r>
              <w:rPr>
                <w:rFonts w:ascii="宋体" w:eastAsia="宋体" w:hAnsiTheme="minorEastAsia"/>
                <w:sz w:val="24"/>
              </w:rPr>
              <w:t>时间</w:t>
            </w:r>
            <w:r>
              <w:rPr>
                <w:rFonts w:hint="eastAsia" w:ascii="宋体" w:eastAsia="宋体" w:hAnsiTheme="minorEastAsia"/>
                <w:sz w:val="24"/>
              </w:rPr>
              <w:t>:</w:t>
            </w:r>
          </w:p>
          <w:p w14:paraId="31DA60A8">
            <w:pPr>
              <w:snapToGrid w:val="0"/>
              <w:spacing w:line="240" w:lineRule="auto"/>
              <w:ind w:left="0" w:leftChars="0" w:right="0" w:rightChars="0" w:firstLine="0" w:firstLineChars="0"/>
              <w:jc w:val="left"/>
              <w:rPr>
                <w:rFonts w:ascii="宋体" w:eastAsia="宋体" w:cs="宋体" w:hAnsiTheme="minorEastAsia"/>
                <w:sz w:val="24"/>
                <w:szCs w:val="24"/>
                <w:highlight w:val="none"/>
              </w:rPr>
            </w:pPr>
            <w:r>
              <w:rPr>
                <w:rFonts w:hint="eastAsia" w:ascii="宋体" w:eastAsia="宋体" w:cs="宋体" w:hAnsiTheme="minorEastAsia"/>
                <w:sz w:val="24"/>
                <w:szCs w:val="24"/>
                <w:highlight w:val="none"/>
              </w:rPr>
              <w:t>1.故障响应时间：紧急故障≤15分钟；重大故障≤2小时；一般故障≤4小时；</w:t>
            </w:r>
          </w:p>
          <w:p w14:paraId="1AB2DC7B">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lang w:val="en-US" w:eastAsia="zh-CN"/>
              </w:rPr>
            </w:pPr>
            <w:r>
              <w:rPr>
                <w:rFonts w:hint="eastAsia" w:ascii="宋体" w:eastAsia="宋体" w:cs="宋体" w:hAnsiTheme="minorEastAsia"/>
                <w:sz w:val="24"/>
                <w:szCs w:val="24"/>
                <w:highlight w:val="none"/>
              </w:rPr>
              <w:t>2.故障解决时间：紧急故障≤8小时；重大故障≤24小时；一般故障≤3个工作日</w:t>
            </w:r>
          </w:p>
        </w:tc>
        <w:tc>
          <w:tcPr>
            <w:tcW w:w="2212" w:type="dxa"/>
            <w:vAlign w:val="center"/>
          </w:tcPr>
          <w:p w14:paraId="5AB2CE23">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vertAlign w:val="baseline"/>
                <w:lang w:val="en-US" w:eastAsia="zh-CN"/>
              </w:rPr>
            </w:pPr>
            <w:r>
              <w:rPr>
                <w:rFonts w:hint="eastAsia" w:ascii="宋体" w:eastAsia="宋体" w:hAnsiTheme="minorEastAsia"/>
                <w:sz w:val="24"/>
              </w:rPr>
              <w:t>按紧急/重大/一般的三级响应时效，每次超时扣3~7分</w:t>
            </w:r>
          </w:p>
        </w:tc>
      </w:tr>
      <w:tr w14:paraId="1FCD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9" w:type="dxa"/>
            <w:vAlign w:val="center"/>
          </w:tcPr>
          <w:p w14:paraId="0062C30D">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巡检</w:t>
            </w:r>
          </w:p>
        </w:tc>
        <w:tc>
          <w:tcPr>
            <w:tcW w:w="859" w:type="dxa"/>
            <w:vAlign w:val="center"/>
          </w:tcPr>
          <w:p w14:paraId="1BE86900">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10</w:t>
            </w:r>
          </w:p>
        </w:tc>
        <w:tc>
          <w:tcPr>
            <w:tcW w:w="3869" w:type="dxa"/>
            <w:vAlign w:val="center"/>
          </w:tcPr>
          <w:p w14:paraId="3E96B296">
            <w:pPr>
              <w:snapToGrid w:val="0"/>
              <w:spacing w:line="240" w:lineRule="auto"/>
              <w:ind w:left="0" w:leftChars="0" w:right="0" w:rightChars="0" w:firstLine="0" w:firstLineChars="0"/>
              <w:jc w:val="left"/>
              <w:rPr>
                <w:rFonts w:hint="eastAsia" w:ascii="宋体" w:eastAsia="宋体"/>
                <w:sz w:val="24"/>
              </w:rPr>
            </w:pPr>
            <w:r>
              <w:rPr>
                <w:rFonts w:ascii="宋体" w:eastAsia="宋体"/>
                <w:sz w:val="24"/>
              </w:rPr>
              <w:t>巡检与预防性维护</w:t>
            </w:r>
            <w:r>
              <w:rPr>
                <w:rFonts w:hint="eastAsia" w:ascii="宋体" w:eastAsia="宋体"/>
                <w:sz w:val="24"/>
              </w:rPr>
              <w:t>：</w:t>
            </w:r>
          </w:p>
          <w:p w14:paraId="14A4ADD2">
            <w:pPr>
              <w:snapToGrid w:val="0"/>
              <w:spacing w:line="240" w:lineRule="auto"/>
              <w:ind w:left="0" w:leftChars="0" w:right="0" w:rightChars="0" w:firstLine="0" w:firstLineChars="0"/>
              <w:jc w:val="left"/>
              <w:rPr>
                <w:rFonts w:ascii="宋体" w:eastAsia="宋体" w:cs="宋体" w:hAnsiTheme="minorEastAsia"/>
                <w:sz w:val="24"/>
                <w:szCs w:val="24"/>
                <w:highlight w:val="none"/>
              </w:rPr>
            </w:pPr>
            <w:r>
              <w:rPr>
                <w:rFonts w:hint="eastAsia" w:ascii="宋体" w:eastAsia="宋体" w:cs="宋体" w:hAnsiTheme="minorEastAsia"/>
                <w:sz w:val="24"/>
                <w:szCs w:val="24"/>
                <w:highlight w:val="none"/>
              </w:rPr>
              <w:t>1.每季度不少于1次现场巡检：分诊导医硬件排查、叫号及语音功能检测、系统运行状态评估、安全隐患排查等，并出具巡检报告；</w:t>
            </w:r>
          </w:p>
          <w:p w14:paraId="0179156C">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lang w:val="en-US" w:eastAsia="zh-CN"/>
              </w:rPr>
            </w:pPr>
            <w:r>
              <w:rPr>
                <w:rFonts w:hint="eastAsia" w:ascii="宋体" w:eastAsia="宋体" w:cs="宋体" w:hAnsiTheme="minorEastAsia"/>
                <w:sz w:val="24"/>
                <w:szCs w:val="24"/>
                <w:highlight w:val="none"/>
              </w:rPr>
              <w:t>2.重大节日前置巡检：遇五一、国庆、春节等国家法定长假及医院重大活动及评审，须于节前3个工作日内完成全覆盖专项巡检：巡检内容同上。</w:t>
            </w:r>
          </w:p>
        </w:tc>
        <w:tc>
          <w:tcPr>
            <w:tcW w:w="2212" w:type="dxa"/>
            <w:vAlign w:val="center"/>
          </w:tcPr>
          <w:p w14:paraId="44758564">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vertAlign w:val="baseline"/>
                <w:lang w:val="en-US" w:eastAsia="zh-CN"/>
              </w:rPr>
            </w:pPr>
            <w:r>
              <w:rPr>
                <w:rFonts w:hint="eastAsia" w:ascii="宋体" w:eastAsia="宋体" w:hAnsiTheme="minorEastAsia"/>
                <w:sz w:val="24"/>
              </w:rPr>
              <w:t>缺次不得分，无报告扣5分/次</w:t>
            </w:r>
          </w:p>
        </w:tc>
      </w:tr>
      <w:tr w14:paraId="286A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79" w:type="dxa"/>
            <w:vAlign w:val="center"/>
          </w:tcPr>
          <w:p w14:paraId="3C1EEE7C">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服务规范</w:t>
            </w:r>
          </w:p>
        </w:tc>
        <w:tc>
          <w:tcPr>
            <w:tcW w:w="859" w:type="dxa"/>
            <w:vAlign w:val="center"/>
          </w:tcPr>
          <w:p w14:paraId="4B7B8CA1">
            <w:pPr>
              <w:snapToGrid w:val="0"/>
              <w:spacing w:line="240" w:lineRule="auto"/>
              <w:ind w:left="0" w:leftChars="0" w:right="0" w:rightChars="0" w:firstLine="0" w:firstLineChars="0"/>
              <w:jc w:val="center"/>
              <w:rPr>
                <w:rFonts w:hint="default" w:ascii="宋体" w:hAnsi="宋体" w:eastAsia="宋体" w:cs="宋体"/>
                <w:color w:val="auto"/>
                <w:sz w:val="24"/>
                <w:szCs w:val="24"/>
                <w:highlight w:val="none"/>
                <w:lang w:val="en-US" w:eastAsia="zh-CN"/>
              </w:rPr>
            </w:pPr>
            <w:r>
              <w:rPr>
                <w:rFonts w:hint="eastAsia" w:ascii="宋体" w:eastAsia="宋体" w:hAnsiTheme="minorEastAsia"/>
                <w:sz w:val="24"/>
              </w:rPr>
              <w:t>10</w:t>
            </w:r>
          </w:p>
        </w:tc>
        <w:tc>
          <w:tcPr>
            <w:tcW w:w="3869" w:type="dxa"/>
            <w:vAlign w:val="center"/>
          </w:tcPr>
          <w:p w14:paraId="7970E80A">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lang w:val="en-US" w:eastAsia="zh-CN"/>
              </w:rPr>
            </w:pPr>
            <w:r>
              <w:rPr>
                <w:rFonts w:ascii="宋体" w:eastAsia="宋体" w:hAnsiTheme="minorEastAsia"/>
                <w:sz w:val="24"/>
              </w:rPr>
              <w:t>质量与服务类软指标： 门诊部/患者投诉：因分诊导医系统维保不到位导致有效投诉</w:t>
            </w:r>
          </w:p>
        </w:tc>
        <w:tc>
          <w:tcPr>
            <w:tcW w:w="2212" w:type="dxa"/>
            <w:vAlign w:val="center"/>
          </w:tcPr>
          <w:p w14:paraId="46490009">
            <w:pPr>
              <w:snapToGrid w:val="0"/>
              <w:spacing w:line="240" w:lineRule="auto"/>
              <w:ind w:left="0" w:leftChars="0" w:right="0" w:rightChars="0" w:firstLine="0" w:firstLineChars="0"/>
              <w:jc w:val="left"/>
              <w:rPr>
                <w:rFonts w:hint="default" w:ascii="宋体" w:hAnsi="宋体" w:eastAsia="宋体" w:cs="宋体"/>
                <w:color w:val="auto"/>
                <w:sz w:val="24"/>
                <w:szCs w:val="24"/>
                <w:highlight w:val="none"/>
                <w:vertAlign w:val="baseline"/>
                <w:lang w:val="en-US" w:eastAsia="zh-CN"/>
              </w:rPr>
            </w:pPr>
            <w:r>
              <w:rPr>
                <w:rFonts w:hint="eastAsia" w:ascii="宋体" w:eastAsia="宋体" w:hAnsiTheme="minorEastAsia"/>
                <w:sz w:val="24"/>
              </w:rPr>
              <w:t>投诉打分，每次扣5~10分</w:t>
            </w:r>
          </w:p>
        </w:tc>
      </w:tr>
    </w:tbl>
    <w:p w14:paraId="47BF14A1">
      <w:pPr>
        <w:pStyle w:val="12"/>
        <w:keepNext w:val="0"/>
        <w:keepLines w:val="0"/>
        <w:widowControl/>
        <w:suppressLineNumbers w:val="0"/>
        <w:rPr>
          <w:color w:val="auto"/>
          <w:highlight w:val="none"/>
        </w:rPr>
      </w:pPr>
      <w:bookmarkStart w:id="2" w:name="_GoBack"/>
      <w:bookmarkEnd w:id="2"/>
      <w:r>
        <w:rPr>
          <w:rStyle w:val="18"/>
          <w:color w:val="auto"/>
          <w:highlight w:val="none"/>
        </w:rPr>
        <w:t>挂钩方式</w:t>
      </w:r>
      <w:r>
        <w:rPr>
          <w:rStyle w:val="18"/>
          <w:rFonts w:hint="eastAsia"/>
          <w:color w:val="auto"/>
          <w:highlight w:val="none"/>
          <w:lang w:eastAsia="zh-CN"/>
        </w:rPr>
        <w:t>（</w:t>
      </w:r>
      <w:r>
        <w:rPr>
          <w:rStyle w:val="18"/>
          <w:rFonts w:hint="eastAsia"/>
          <w:color w:val="auto"/>
          <w:highlight w:val="none"/>
          <w:lang w:val="en-US" w:eastAsia="zh-CN"/>
        </w:rPr>
        <w:t>按季度，以下服务费均为季度服务费，即中标价的四分之一</w:t>
      </w:r>
      <w:r>
        <w:rPr>
          <w:rStyle w:val="18"/>
          <w:rFonts w:hint="eastAsia"/>
          <w:color w:val="auto"/>
          <w:highlight w:val="none"/>
          <w:lang w:eastAsia="zh-CN"/>
        </w:rPr>
        <w:t>）</w:t>
      </w:r>
      <w:r>
        <w:rPr>
          <w:color w:val="auto"/>
          <w:highlight w:val="none"/>
        </w:rPr>
        <w:t>：</w:t>
      </w:r>
    </w:p>
    <w:p w14:paraId="7D62EC50">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Theme="minorHAnsi" w:hAnsiTheme="minorHAnsi" w:eastAsiaTheme="minorEastAsia" w:cstheme="minorBidi"/>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Theme="minorHAnsi" w:hAnsiTheme="minorHAnsi" w:eastAsiaTheme="minorEastAsia" w:cstheme="minorBidi"/>
          <w:color w:val="auto"/>
          <w:kern w:val="0"/>
          <w:sz w:val="24"/>
          <w:szCs w:val="24"/>
          <w:highlight w:val="none"/>
          <w:lang w:val="en-US" w:eastAsia="zh-CN" w:bidi="ar"/>
        </w:rPr>
        <w:t>≥90 分：支付全额服务费</w:t>
      </w:r>
    </w:p>
    <w:p w14:paraId="322357D1">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Theme="minorHAnsi" w:hAnsiTheme="minorHAnsi" w:eastAsiaTheme="minorEastAsia" w:cstheme="minorBidi"/>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Theme="minorHAnsi" w:hAnsiTheme="minorHAnsi" w:eastAsiaTheme="minorEastAsia" w:cstheme="minorBidi"/>
          <w:color w:val="auto"/>
          <w:kern w:val="0"/>
          <w:sz w:val="24"/>
          <w:szCs w:val="24"/>
          <w:highlight w:val="none"/>
          <w:lang w:val="en-US" w:eastAsia="zh-CN" w:bidi="ar"/>
        </w:rPr>
        <w:t>80~89分：扣 5% 服务费</w:t>
      </w:r>
    </w:p>
    <w:p w14:paraId="2835C9DA">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Theme="minorHAnsi" w:hAnsiTheme="minorHAnsi" w:eastAsiaTheme="minorEastAsia" w:cstheme="minorBidi"/>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Theme="minorHAnsi" w:hAnsiTheme="minorHAnsi" w:eastAsiaTheme="minorEastAsia" w:cstheme="minorBidi"/>
          <w:color w:val="auto"/>
          <w:kern w:val="0"/>
          <w:sz w:val="24"/>
          <w:szCs w:val="24"/>
          <w:highlight w:val="none"/>
          <w:lang w:val="en-US" w:eastAsia="zh-CN" w:bidi="ar"/>
        </w:rPr>
        <w:t>70~79分：扣 10% 服务费</w:t>
      </w:r>
    </w:p>
    <w:p w14:paraId="2BE9F14A">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Theme="minorHAnsi" w:hAnsiTheme="minorHAnsi" w:eastAsiaTheme="minorEastAsia" w:cstheme="minorBidi"/>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Theme="minorHAnsi" w:hAnsiTheme="minorHAnsi" w:eastAsiaTheme="minorEastAsia" w:cstheme="minorBidi"/>
          <w:color w:val="auto"/>
          <w:kern w:val="0"/>
          <w:sz w:val="24"/>
          <w:szCs w:val="24"/>
          <w:highlight w:val="none"/>
          <w:lang w:val="en-US" w:eastAsia="zh-CN" w:bidi="ar"/>
        </w:rPr>
        <w:t>＜70 分：扣20% 服务费+整改通知（如连续2个季度考核分值均低于70分，则甲方可终止服务合同）</w:t>
      </w:r>
    </w:p>
    <w:p w14:paraId="0AABB63A">
      <w:pPr>
        <w:pStyle w:val="2"/>
        <w:rPr>
          <w:rFonts w:hint="eastAsia"/>
          <w:lang w:val="en-US" w:eastAsia="zh-CN"/>
        </w:rPr>
      </w:pPr>
    </w:p>
    <w:p w14:paraId="2F251016">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Theme="minorHAnsi" w:hAnsiTheme="minorHAnsi" w:eastAsiaTheme="minorEastAsia" w:cstheme="minorBidi"/>
          <w:color w:val="auto"/>
          <w:kern w:val="0"/>
          <w:sz w:val="24"/>
          <w:szCs w:val="24"/>
          <w:highlight w:val="none"/>
          <w:lang w:val="en-US" w:eastAsia="zh-CN" w:bidi="ar"/>
        </w:rPr>
      </w:pPr>
      <w:r>
        <w:rPr>
          <w:rFonts w:hint="eastAsia" w:asciiTheme="minorHAnsi" w:hAnsiTheme="minorHAnsi" w:eastAsiaTheme="minorEastAsia" w:cstheme="minorBidi"/>
          <w:color w:val="auto"/>
          <w:kern w:val="0"/>
          <w:sz w:val="24"/>
          <w:szCs w:val="24"/>
          <w:highlight w:val="none"/>
          <w:lang w:val="en-US" w:eastAsia="zh-CN" w:bidi="ar"/>
        </w:rPr>
        <w:t>注：采购人在合同期内有权结合实际需求及相关法规规范的变更，更新、调整考核评价项目、内容及分值。</w:t>
      </w:r>
    </w:p>
    <w:p w14:paraId="70BC82CF">
      <w:pPr>
        <w:pStyle w:val="2"/>
        <w:rPr>
          <w:rFonts w:hint="default"/>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12D5F2-F907-4D26-A92B-C3D441792F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A931D3E-EDFB-46FA-93BE-488F0D160EB6}"/>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1F485D8D-2D18-47E4-A34B-397453C9F94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84F17"/>
    <w:multiLevelType w:val="singleLevel"/>
    <w:tmpl w:val="81F84F1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364BD"/>
    <w:rsid w:val="075D1E8C"/>
    <w:rsid w:val="0C831895"/>
    <w:rsid w:val="0D4234FE"/>
    <w:rsid w:val="0EAD100E"/>
    <w:rsid w:val="0ECD225B"/>
    <w:rsid w:val="13B54A2A"/>
    <w:rsid w:val="14CC12C4"/>
    <w:rsid w:val="17875A15"/>
    <w:rsid w:val="18371EB1"/>
    <w:rsid w:val="19ED1940"/>
    <w:rsid w:val="1B096E5A"/>
    <w:rsid w:val="20DB1848"/>
    <w:rsid w:val="22BC150E"/>
    <w:rsid w:val="23377209"/>
    <w:rsid w:val="28597DF9"/>
    <w:rsid w:val="2A471FEB"/>
    <w:rsid w:val="31794E91"/>
    <w:rsid w:val="33084527"/>
    <w:rsid w:val="340A6274"/>
    <w:rsid w:val="35B929BB"/>
    <w:rsid w:val="36392E40"/>
    <w:rsid w:val="38C56C0D"/>
    <w:rsid w:val="395B7F03"/>
    <w:rsid w:val="395D23A4"/>
    <w:rsid w:val="3FC945CA"/>
    <w:rsid w:val="41436A71"/>
    <w:rsid w:val="421A00E8"/>
    <w:rsid w:val="46F970CC"/>
    <w:rsid w:val="4968026A"/>
    <w:rsid w:val="4CC7027B"/>
    <w:rsid w:val="510026A9"/>
    <w:rsid w:val="51951749"/>
    <w:rsid w:val="53ED5526"/>
    <w:rsid w:val="55471060"/>
    <w:rsid w:val="55B61960"/>
    <w:rsid w:val="55D16D7C"/>
    <w:rsid w:val="5771095A"/>
    <w:rsid w:val="66A852F5"/>
    <w:rsid w:val="66F66060"/>
    <w:rsid w:val="68701E42"/>
    <w:rsid w:val="6B297183"/>
    <w:rsid w:val="6BB97277"/>
    <w:rsid w:val="6F2A0C05"/>
    <w:rsid w:val="70661AF5"/>
    <w:rsid w:val="7706409E"/>
    <w:rsid w:val="78320EC2"/>
    <w:rsid w:val="78381BD3"/>
    <w:rsid w:val="79A20C2B"/>
    <w:rsid w:val="79CB70E8"/>
    <w:rsid w:val="7C3944B7"/>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left"/>
    </w:pPr>
    <w:rPr>
      <w:rFonts w:ascii="Arial" w:hAnsi="Arial" w:eastAsia="黑体" w:cs="黑体"/>
      <w:b/>
      <w:sz w:val="32"/>
      <w:szCs w:val="22"/>
    </w:rPr>
  </w:style>
  <w:style w:type="paragraph" w:styleId="3">
    <w:name w:val="Normal Indent"/>
    <w:basedOn w:val="1"/>
    <w:qFormat/>
    <w:uiPriority w:val="0"/>
    <w:pPr>
      <w:ind w:firstLine="420" w:firstLineChars="200"/>
    </w:pPr>
    <w:rPr>
      <w:kern w:val="0"/>
      <w:sz w:val="24"/>
      <w:szCs w:val="20"/>
    </w:rPr>
  </w:style>
  <w:style w:type="paragraph" w:styleId="4">
    <w:name w:val="annotation text"/>
    <w:basedOn w:val="1"/>
    <w:qFormat/>
    <w:uiPriority w:val="0"/>
    <w:pPr>
      <w:jc w:val="left"/>
    </w:pPr>
  </w:style>
  <w:style w:type="paragraph" w:styleId="5">
    <w:name w:val="Body Text Indent"/>
    <w:basedOn w:val="1"/>
    <w:next w:val="6"/>
    <w:unhideWhenUsed/>
    <w:qFormat/>
    <w:uiPriority w:val="99"/>
    <w:pPr>
      <w:spacing w:after="120"/>
      <w:ind w:left="420" w:leftChars="200"/>
    </w:pPr>
  </w:style>
  <w:style w:type="paragraph" w:styleId="6">
    <w:name w:val="envelope return"/>
    <w:basedOn w:val="1"/>
    <w:qFormat/>
    <w:uiPriority w:val="0"/>
    <w:pPr>
      <w:adjustRightInd/>
    </w:pPr>
    <w:rPr>
      <w:rFonts w:ascii="Arial" w:hAnsi="Arial" w:cs="Times New Roman"/>
      <w:sz w:val="21"/>
    </w:rPr>
  </w:style>
  <w:style w:type="paragraph" w:styleId="7">
    <w:name w:val="index 4"/>
    <w:basedOn w:val="1"/>
    <w:next w:val="1"/>
    <w:semiHidden/>
    <w:qFormat/>
    <w:uiPriority w:val="0"/>
    <w:pPr>
      <w:ind w:left="1260"/>
    </w:pPr>
  </w:style>
  <w:style w:type="paragraph" w:styleId="8">
    <w:name w:val="Body Text Indent 2"/>
    <w:basedOn w:val="1"/>
    <w:qFormat/>
    <w:uiPriority w:val="0"/>
    <w:pPr>
      <w:spacing w:after="120" w:line="480" w:lineRule="auto"/>
      <w:ind w:left="420" w:leftChars="200"/>
    </w:pPr>
    <w:rPr>
      <w:rFonts w:ascii="宋体"/>
      <w:sz w:val="32"/>
      <w:szCs w:val="22"/>
    </w:rPr>
  </w:style>
  <w:style w:type="paragraph" w:styleId="9">
    <w:name w:val="footer"/>
    <w:basedOn w:val="1"/>
    <w:qFormat/>
    <w:uiPriority w:val="0"/>
    <w:pPr>
      <w:tabs>
        <w:tab w:val="center" w:pos="4153"/>
        <w:tab w:val="right" w:pos="8306"/>
      </w:tabs>
      <w:snapToGrid w:val="0"/>
      <w:jc w:val="left"/>
    </w:pPr>
    <w:rPr>
      <w:sz w:val="18"/>
      <w:lang w:bidi="he-IL"/>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next w:val="2"/>
    <w:qFormat/>
    <w:uiPriority w:val="0"/>
    <w:pPr>
      <w:spacing w:after="120" w:line="480" w:lineRule="auto"/>
    </w:p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Title"/>
    <w:basedOn w:val="1"/>
    <w:next w:val="1"/>
    <w:link w:val="20"/>
    <w:qFormat/>
    <w:uiPriority w:val="0"/>
    <w:pPr>
      <w:spacing w:before="240" w:after="60"/>
      <w:outlineLvl w:val="0"/>
    </w:pPr>
    <w:rPr>
      <w:rFonts w:ascii="Cambria" w:hAnsi="Cambria"/>
      <w:b/>
      <w:bCs/>
      <w:sz w:val="32"/>
      <w:szCs w:val="32"/>
    </w:rPr>
  </w:style>
  <w:style w:type="paragraph" w:styleId="14">
    <w:name w:val="Body Text First Indent 2"/>
    <w:basedOn w:val="5"/>
    <w:unhideWhenUsed/>
    <w:qFormat/>
    <w:uiPriority w:val="0"/>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List Paragraph"/>
    <w:basedOn w:val="1"/>
    <w:qFormat/>
    <w:uiPriority w:val="0"/>
    <w:pPr>
      <w:ind w:firstLine="420" w:firstLineChars="200"/>
    </w:pPr>
  </w:style>
  <w:style w:type="character" w:customStyle="1" w:styleId="20">
    <w:name w:val="标题 Char"/>
    <w:link w:val="13"/>
    <w:qFormat/>
    <w:uiPriority w:val="0"/>
    <w:rPr>
      <w:rFonts w:ascii="Cambria" w:hAnsi="Cambria"/>
      <w:b/>
      <w:bCs/>
      <w:sz w:val="32"/>
      <w:szCs w:val="32"/>
    </w:rPr>
  </w:style>
  <w:style w:type="character" w:customStyle="1" w:styleId="21">
    <w:name w:val="font01"/>
    <w:basedOn w:val="17"/>
    <w:qFormat/>
    <w:uiPriority w:val="0"/>
    <w:rPr>
      <w:rFonts w:hint="eastAsia" w:ascii="宋体" w:hAnsi="宋体" w:eastAsia="宋体" w:cs="宋体"/>
      <w:color w:val="000000"/>
      <w:sz w:val="20"/>
      <w:szCs w:val="20"/>
      <w:u w:val="none"/>
    </w:rPr>
  </w:style>
  <w:style w:type="character" w:customStyle="1" w:styleId="22">
    <w:name w:val="font21"/>
    <w:basedOn w:val="17"/>
    <w:qFormat/>
    <w:uiPriority w:val="0"/>
    <w:rPr>
      <w:rFonts w:ascii="Arial" w:hAnsi="Arial" w:cs="Arial"/>
      <w:color w:val="000000"/>
      <w:sz w:val="20"/>
      <w:szCs w:val="20"/>
      <w:u w:val="none"/>
    </w:rPr>
  </w:style>
  <w:style w:type="character" w:customStyle="1" w:styleId="23">
    <w:name w:val="font11"/>
    <w:basedOn w:val="17"/>
    <w:qFormat/>
    <w:uiPriority w:val="0"/>
    <w:rPr>
      <w:rFonts w:hint="eastAsia" w:ascii="宋体" w:hAnsi="宋体" w:eastAsia="宋体" w:cs="宋体"/>
      <w:color w:val="000000"/>
      <w:sz w:val="18"/>
      <w:szCs w:val="18"/>
      <w:u w:val="none"/>
    </w:rPr>
  </w:style>
  <w:style w:type="character" w:customStyle="1" w:styleId="24">
    <w:name w:val="font31"/>
    <w:basedOn w:val="17"/>
    <w:qFormat/>
    <w:uiPriority w:val="0"/>
    <w:rPr>
      <w:rFonts w:hint="default" w:ascii="Arial" w:hAnsi="Arial" w:cs="Arial"/>
      <w:color w:val="000000"/>
      <w:sz w:val="18"/>
      <w:szCs w:val="18"/>
      <w:u w:val="none"/>
    </w:r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Table Text"/>
    <w:basedOn w:val="1"/>
    <w:semiHidden/>
    <w:qFormat/>
    <w:uiPriority w:val="0"/>
    <w:rPr>
      <w:rFonts w:ascii="宋体" w:hAnsi="宋体" w:eastAsia="宋体" w:cs="宋体"/>
      <w:sz w:val="28"/>
      <w:szCs w:val="28"/>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缺省文本"/>
    <w:basedOn w:val="1"/>
    <w:qFormat/>
    <w:uiPriority w:val="0"/>
    <w:pPr>
      <w:autoSpaceDE w:val="0"/>
      <w:autoSpaceDN w:val="0"/>
      <w:adjustRightInd w:val="0"/>
      <w:jc w:val="left"/>
    </w:pPr>
    <w:rPr>
      <w:kern w:val="0"/>
      <w:sz w:val="24"/>
      <w:szCs w:val="20"/>
    </w:rPr>
  </w:style>
  <w:style w:type="paragraph" w:customStyle="1" w:styleId="29">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2703</Words>
  <Characters>2832</Characters>
  <Lines>0</Lines>
  <Paragraphs>0</Paragraphs>
  <TotalTime>0</TotalTime>
  <ScaleCrop>false</ScaleCrop>
  <LinksUpToDate>false</LinksUpToDate>
  <CharactersWithSpaces>2852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2026-10-23T07:05:37Z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68256FD196C845FA99C1FFB0258BD82B_13</vt:lpwstr>
  </property>
  <property fmtid="{D5CDD505-2E9C-101B-9397-08002B2CF9AE}" pid="4" name="KSOTemplateDocerSaveRecord">
    <vt:lpwstr>eyJoZGlkIjoiMTU1MGI0MTgwMTU0MzQ0NjdlZGQyYmM0MTBjZjEwZjYiLCJ1c2VySWQiOiI1NTUzMTQ2MDYifQ==</vt:lpwstr>
  </property>
</Properties>
</file>